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8101B" w14:textId="77777777" w:rsidR="002F2C71" w:rsidRPr="002F2C71" w:rsidRDefault="002F2C71" w:rsidP="002F2C71">
      <w:pPr>
        <w:jc w:val="center"/>
        <w:rPr>
          <w:b/>
          <w:bCs/>
          <w:sz w:val="32"/>
        </w:rPr>
      </w:pPr>
      <w:r w:rsidRPr="002F2C71">
        <w:rPr>
          <w:b/>
          <w:bCs/>
          <w:sz w:val="32"/>
        </w:rPr>
        <w:t xml:space="preserve">Amendment to the bidding document </w:t>
      </w:r>
    </w:p>
    <w:p w14:paraId="671E9C18" w14:textId="77777777" w:rsidR="002F2C71" w:rsidRPr="002F2C71" w:rsidRDefault="002F2C71" w:rsidP="002F2C71">
      <w:pPr>
        <w:jc w:val="center"/>
        <w:rPr>
          <w:b/>
          <w:bCs/>
          <w:sz w:val="32"/>
        </w:rPr>
      </w:pPr>
    </w:p>
    <w:p w14:paraId="1C573F14" w14:textId="77777777" w:rsidR="002F2C71" w:rsidRPr="002F2C71" w:rsidRDefault="002F2C71" w:rsidP="002F2C71">
      <w:pPr>
        <w:jc w:val="center"/>
        <w:rPr>
          <w:b/>
          <w:bCs/>
          <w:sz w:val="44"/>
          <w:szCs w:val="44"/>
        </w:rPr>
      </w:pPr>
      <w:r w:rsidRPr="002F2C71">
        <w:rPr>
          <w:b/>
          <w:bCs/>
          <w:sz w:val="44"/>
          <w:szCs w:val="44"/>
        </w:rPr>
        <w:t>Request for Bids</w:t>
      </w:r>
    </w:p>
    <w:p w14:paraId="5A1BAD7E" w14:textId="77777777" w:rsidR="002F2C71" w:rsidRPr="002F2C71" w:rsidRDefault="002F2C71" w:rsidP="002F2C71">
      <w:pPr>
        <w:jc w:val="center"/>
        <w:rPr>
          <w:b/>
          <w:bCs/>
          <w:sz w:val="44"/>
          <w:szCs w:val="44"/>
        </w:rPr>
      </w:pPr>
      <w:proofErr w:type="gramStart"/>
      <w:r w:rsidRPr="002F2C71">
        <w:rPr>
          <w:b/>
          <w:bCs/>
          <w:sz w:val="44"/>
          <w:szCs w:val="44"/>
        </w:rPr>
        <w:t>Goods</w:t>
      </w:r>
      <w:proofErr w:type="gramEnd"/>
    </w:p>
    <w:p w14:paraId="72DBA2B2" w14:textId="77777777" w:rsidR="002F2C71" w:rsidRPr="002F2C71" w:rsidRDefault="002F2C71" w:rsidP="002F2C71">
      <w:pPr>
        <w:spacing w:before="120"/>
        <w:jc w:val="center"/>
        <w:rPr>
          <w:b/>
          <w:bCs/>
          <w:sz w:val="28"/>
          <w:szCs w:val="28"/>
        </w:rPr>
      </w:pPr>
      <w:r w:rsidRPr="002F2C71">
        <w:rPr>
          <w:b/>
          <w:bCs/>
          <w:sz w:val="28"/>
          <w:szCs w:val="28"/>
        </w:rPr>
        <w:t>(One-Envelope Bidding Process)</w:t>
      </w:r>
    </w:p>
    <w:p w14:paraId="6EFD8464" w14:textId="77777777" w:rsidR="002F2C71" w:rsidRPr="002F2C71" w:rsidRDefault="002F2C71" w:rsidP="002F2C71">
      <w:pPr>
        <w:jc w:val="center"/>
        <w:rPr>
          <w:b/>
          <w:bCs/>
          <w:sz w:val="32"/>
        </w:rPr>
      </w:pPr>
    </w:p>
    <w:p w14:paraId="0ECCE8BE" w14:textId="77777777" w:rsidR="002F2C71" w:rsidRPr="002F2C71" w:rsidRDefault="002F2C71" w:rsidP="002F2C71">
      <w:pPr>
        <w:spacing w:line="259" w:lineRule="auto"/>
        <w:rPr>
          <w:b/>
          <w:bCs/>
          <w:iCs/>
          <w:sz w:val="28"/>
          <w:szCs w:val="28"/>
          <w:u w:val="single"/>
          <w14:ligatures w14:val="none"/>
        </w:rPr>
      </w:pPr>
      <w:r w:rsidRPr="002F2C71">
        <w:rPr>
          <w:b/>
          <w:bCs/>
          <w:iCs/>
          <w:sz w:val="28"/>
          <w:szCs w:val="28"/>
          <w14:ligatures w14:val="none"/>
        </w:rPr>
        <w:t xml:space="preserve">Country: </w:t>
      </w:r>
      <w:r w:rsidRPr="002F2C71">
        <w:rPr>
          <w:b/>
          <w:bCs/>
          <w:iCs/>
          <w:sz w:val="28"/>
          <w:szCs w:val="28"/>
          <w:u w:val="single"/>
          <w14:ligatures w14:val="none"/>
        </w:rPr>
        <w:t>African Union.</w:t>
      </w:r>
    </w:p>
    <w:p w14:paraId="6609709A" w14:textId="77777777" w:rsidR="002F2C71" w:rsidRPr="002F2C71" w:rsidRDefault="002F2C71" w:rsidP="002F2C71">
      <w:pPr>
        <w:spacing w:line="259" w:lineRule="auto"/>
        <w:jc w:val="both"/>
        <w:rPr>
          <w:b/>
          <w:bCs/>
          <w:iCs/>
          <w:sz w:val="28"/>
          <w:szCs w:val="28"/>
          <w:u w:val="single"/>
          <w14:ligatures w14:val="none"/>
        </w:rPr>
      </w:pPr>
      <w:r w:rsidRPr="002F2C71">
        <w:rPr>
          <w:b/>
          <w:bCs/>
          <w:iCs/>
          <w:sz w:val="28"/>
          <w:szCs w:val="28"/>
          <w14:ligatures w14:val="none"/>
        </w:rPr>
        <w:t xml:space="preserve">Contract Title: </w:t>
      </w:r>
      <w:r w:rsidRPr="002F2C71">
        <w:rPr>
          <w:b/>
          <w:bCs/>
          <w:iCs/>
          <w:sz w:val="28"/>
          <w:szCs w:val="28"/>
          <w:u w:val="single"/>
          <w14:ligatures w14:val="none"/>
        </w:rPr>
        <w:t>Supply, Delivery, Installation and Training of Laboratory Equipment and Supply and Delivery of Reagent and Consumables for Africa CDC Reference Laboratory</w:t>
      </w:r>
    </w:p>
    <w:p w14:paraId="1331AAE6" w14:textId="77777777" w:rsidR="002F2C71" w:rsidRPr="002F2C71" w:rsidRDefault="002F2C71" w:rsidP="002F2C71">
      <w:pPr>
        <w:spacing w:line="259" w:lineRule="auto"/>
        <w:rPr>
          <w:b/>
          <w:bCs/>
          <w:iCs/>
          <w:sz w:val="28"/>
          <w:szCs w:val="28"/>
          <w14:ligatures w14:val="none"/>
        </w:rPr>
      </w:pPr>
      <w:r w:rsidRPr="002F2C71">
        <w:rPr>
          <w:b/>
          <w:bCs/>
          <w:iCs/>
          <w:sz w:val="28"/>
          <w:szCs w:val="28"/>
          <w14:ligatures w14:val="none"/>
        </w:rPr>
        <w:t xml:space="preserve">RFB Reference No.: </w:t>
      </w:r>
      <w:r w:rsidRPr="002F2C71">
        <w:rPr>
          <w:b/>
          <w:bCs/>
          <w:iCs/>
          <w:sz w:val="28"/>
          <w:szCs w:val="28"/>
          <w:u w:val="single"/>
          <w14:ligatures w14:val="none"/>
        </w:rPr>
        <w:t>ACDC/LDS/G/02</w:t>
      </w:r>
    </w:p>
    <w:p w14:paraId="7376030E" w14:textId="77777777" w:rsidR="002F2C71" w:rsidRPr="002F2C71" w:rsidRDefault="002F2C71" w:rsidP="002F2C71">
      <w:pPr>
        <w:spacing w:line="259" w:lineRule="auto"/>
        <w:jc w:val="center"/>
        <w:rPr>
          <w:rFonts w:eastAsiaTheme="minorHAnsi"/>
          <w:b/>
          <w:bCs/>
          <w:kern w:val="2"/>
          <w:sz w:val="32"/>
          <w:szCs w:val="32"/>
        </w:rPr>
      </w:pPr>
    </w:p>
    <w:p w14:paraId="1160378F" w14:textId="77777777" w:rsidR="002F2C71" w:rsidRPr="002F2C71" w:rsidRDefault="002F2C71" w:rsidP="002F2C71">
      <w:pPr>
        <w:spacing w:line="259" w:lineRule="auto"/>
        <w:jc w:val="center"/>
        <w:rPr>
          <w:rFonts w:eastAsiaTheme="minorHAnsi"/>
          <w:b/>
          <w:bCs/>
          <w:kern w:val="2"/>
          <w:sz w:val="32"/>
          <w:szCs w:val="32"/>
        </w:rPr>
      </w:pPr>
      <w:r w:rsidRPr="002F2C71">
        <w:rPr>
          <w:rFonts w:eastAsiaTheme="minorHAnsi"/>
          <w:b/>
          <w:bCs/>
          <w:kern w:val="2"/>
          <w:sz w:val="32"/>
          <w:szCs w:val="32"/>
        </w:rPr>
        <w:t>To All Bidders</w:t>
      </w:r>
    </w:p>
    <w:p w14:paraId="33402C03" w14:textId="77777777" w:rsidR="002F2C71" w:rsidRPr="002F2C71" w:rsidRDefault="002F2C71" w:rsidP="002F2C71">
      <w:pPr>
        <w:spacing w:line="259" w:lineRule="auto"/>
        <w:jc w:val="center"/>
        <w:rPr>
          <w:rFonts w:eastAsiaTheme="minorHAnsi"/>
          <w:b/>
          <w:bCs/>
          <w:kern w:val="2"/>
          <w:sz w:val="32"/>
          <w:szCs w:val="32"/>
        </w:rPr>
      </w:pPr>
    </w:p>
    <w:p w14:paraId="3FE5385F" w14:textId="77777777" w:rsidR="002F2C71" w:rsidRPr="002F2C71" w:rsidRDefault="002F2C71" w:rsidP="002F2C71">
      <w:pPr>
        <w:spacing w:line="259" w:lineRule="auto"/>
        <w:jc w:val="center"/>
        <w:rPr>
          <w:rFonts w:eastAsiaTheme="minorHAnsi"/>
          <w:b/>
          <w:bCs/>
          <w:kern w:val="2"/>
          <w:sz w:val="32"/>
          <w:szCs w:val="32"/>
        </w:rPr>
      </w:pPr>
      <w:r w:rsidRPr="002F2C71">
        <w:rPr>
          <w:rFonts w:eastAsiaTheme="minorHAnsi"/>
          <w:b/>
          <w:bCs/>
          <w:kern w:val="2"/>
          <w:sz w:val="32"/>
          <w:szCs w:val="32"/>
        </w:rPr>
        <w:t xml:space="preserve">Amendment I </w:t>
      </w:r>
    </w:p>
    <w:p w14:paraId="57B060B6" w14:textId="77777777" w:rsidR="002F2C71" w:rsidRPr="002F2C71" w:rsidRDefault="00D01C65" w:rsidP="002F2C71">
      <w:pPr>
        <w:spacing w:after="160" w:line="259" w:lineRule="auto"/>
        <w:rPr>
          <w:rFonts w:eastAsiaTheme="minorHAnsi"/>
          <w:kern w:val="2"/>
          <w:sz w:val="22"/>
          <w:szCs w:val="22"/>
        </w:rPr>
      </w:pPr>
      <w:r>
        <w:rPr>
          <w:rFonts w:eastAsiaTheme="minorHAnsi"/>
          <w:noProof/>
          <w:kern w:val="2"/>
          <w:sz w:val="22"/>
          <w:szCs w:val="22"/>
        </w:rPr>
        <w:pict w14:anchorId="22C54A82">
          <v:rect id="_x0000_i1025" alt="" style="width:462.85pt;height:.05pt;mso-width-percent:0;mso-height-percent:0;mso-width-percent:0;mso-height-percent:0" o:hrpct="989" o:hrstd="t" o:hr="t" fillcolor="#a0a0a0" stroked="f"/>
        </w:pict>
      </w:r>
    </w:p>
    <w:p w14:paraId="247B1BE8" w14:textId="77777777" w:rsidR="002F2C71" w:rsidRPr="002F2C71" w:rsidRDefault="002F2C71" w:rsidP="002F2C71">
      <w:pPr>
        <w:spacing w:after="160" w:line="259" w:lineRule="auto"/>
        <w:jc w:val="both"/>
        <w:rPr>
          <w:rFonts w:eastAsiaTheme="minorHAnsi"/>
          <w:kern w:val="2"/>
          <w:sz w:val="22"/>
          <w:szCs w:val="22"/>
        </w:rPr>
      </w:pPr>
      <w:r w:rsidRPr="002F2C71">
        <w:rPr>
          <w:rFonts w:eastAsiaTheme="minorHAnsi"/>
          <w:kern w:val="2"/>
          <w:sz w:val="22"/>
          <w:szCs w:val="22"/>
        </w:rPr>
        <w:t xml:space="preserve">This Addendum is issued in accordance with Clause 8 (Amendment of Bidding Document) of Section I - Instructions to Bidders of the bidding document and forms an integral part of the Bidding Document for the </w:t>
      </w:r>
      <w:r w:rsidRPr="002F2C71">
        <w:rPr>
          <w:rFonts w:eastAsiaTheme="minorHAnsi"/>
          <w:b/>
          <w:bCs/>
          <w:kern w:val="2"/>
          <w:sz w:val="22"/>
          <w:szCs w:val="22"/>
        </w:rPr>
        <w:t>Supply, Delivery, Installation and Training of Laboratory Equipment and Supply and Delivery of Reagent and Consumables for Africa CDC Reference Laboratory</w:t>
      </w:r>
      <w:r w:rsidRPr="002F2C71">
        <w:rPr>
          <w:rFonts w:eastAsiaTheme="minorHAnsi"/>
          <w:kern w:val="2"/>
          <w:sz w:val="22"/>
          <w:szCs w:val="22"/>
        </w:rPr>
        <w:t>. These modifications include extending the bid submission deadline, amending the date of public opening of the bid and adjusting the bid validity date.  All bidders are required to acknowledge receipt of this Addendum in their bid submission.</w:t>
      </w:r>
    </w:p>
    <w:p w14:paraId="21EA5B70" w14:textId="77777777" w:rsidR="002F2C71" w:rsidRPr="002F2C71" w:rsidRDefault="002F2C71" w:rsidP="002F2C71">
      <w:pPr>
        <w:spacing w:after="160" w:line="259" w:lineRule="auto"/>
        <w:rPr>
          <w:rFonts w:eastAsiaTheme="minorHAnsi"/>
          <w:b/>
          <w:bCs/>
          <w:kern w:val="2"/>
          <w:sz w:val="22"/>
          <w:szCs w:val="22"/>
        </w:rPr>
      </w:pPr>
      <w:r w:rsidRPr="002F2C71">
        <w:rPr>
          <w:rFonts w:eastAsiaTheme="minorHAnsi"/>
          <w:b/>
          <w:bCs/>
          <w:kern w:val="2"/>
          <w:sz w:val="22"/>
          <w:szCs w:val="22"/>
        </w:rPr>
        <w:t xml:space="preserve">Section II – Bid Data Sheet </w:t>
      </w:r>
    </w:p>
    <w:p w14:paraId="36C2AE75" w14:textId="77777777" w:rsidR="002F2C71" w:rsidRPr="002F2C71" w:rsidRDefault="002F2C71" w:rsidP="002F2C71">
      <w:pPr>
        <w:spacing w:after="160" w:line="259" w:lineRule="auto"/>
        <w:rPr>
          <w:rFonts w:eastAsiaTheme="minorHAnsi"/>
          <w:b/>
          <w:bCs/>
          <w:kern w:val="2"/>
          <w:sz w:val="22"/>
          <w:szCs w:val="22"/>
        </w:rPr>
      </w:pPr>
      <w:r w:rsidRPr="002F2C71">
        <w:rPr>
          <w:rFonts w:eastAsiaTheme="minorHAnsi"/>
          <w:b/>
          <w:bCs/>
          <w:kern w:val="2"/>
          <w:sz w:val="22"/>
          <w:szCs w:val="22"/>
        </w:rPr>
        <w:t xml:space="preserve">ITB 19.2.     A Bid Security “shall be” required. </w:t>
      </w:r>
    </w:p>
    <w:tbl>
      <w:tblPr>
        <w:tblW w:w="5953" w:type="dxa"/>
        <w:tblInd w:w="983" w:type="dxa"/>
        <w:tblLook w:val="04A0" w:firstRow="1" w:lastRow="0" w:firstColumn="1" w:lastColumn="0" w:noHBand="0" w:noVBand="1"/>
      </w:tblPr>
      <w:tblGrid>
        <w:gridCol w:w="1842"/>
        <w:gridCol w:w="4111"/>
      </w:tblGrid>
      <w:tr w:rsidR="002F2C71" w:rsidRPr="002F2C71" w14:paraId="21B852ED" w14:textId="77777777" w:rsidTr="008D1CCC">
        <w:trPr>
          <w:trHeight w:val="310"/>
        </w:trPr>
        <w:tc>
          <w:tcPr>
            <w:tcW w:w="1842"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65AB7F04" w14:textId="77777777" w:rsidR="002F2C71" w:rsidRPr="002F2C71" w:rsidRDefault="002F2C71" w:rsidP="002F2C71">
            <w:pPr>
              <w:jc w:val="center"/>
              <w:rPr>
                <w:b/>
                <w:bCs/>
                <w:color w:val="000000"/>
                <w:szCs w:val="24"/>
                <w:lang w:val="en-GB" w:eastAsia="en-GB"/>
                <w14:ligatures w14:val="none"/>
              </w:rPr>
            </w:pPr>
            <w:r w:rsidRPr="002F2C71">
              <w:rPr>
                <w:i/>
                <w:iCs/>
                <w:spacing w:val="-2"/>
                <w:szCs w:val="24"/>
              </w:rPr>
              <w:tab/>
            </w:r>
            <w:r w:rsidRPr="002F2C71">
              <w:rPr>
                <w:b/>
                <w:bCs/>
                <w:color w:val="000000"/>
                <w:szCs w:val="24"/>
                <w:lang w:val="en-GB" w:eastAsia="en-GB"/>
                <w14:ligatures w14:val="none"/>
              </w:rPr>
              <w:t>Lot #</w:t>
            </w:r>
          </w:p>
        </w:tc>
        <w:tc>
          <w:tcPr>
            <w:tcW w:w="4111" w:type="dxa"/>
            <w:tcBorders>
              <w:top w:val="single" w:sz="8" w:space="0" w:color="auto"/>
              <w:left w:val="nil"/>
              <w:bottom w:val="single" w:sz="8" w:space="0" w:color="auto"/>
              <w:right w:val="single" w:sz="8" w:space="0" w:color="auto"/>
            </w:tcBorders>
            <w:shd w:val="clear" w:color="000000" w:fill="D9D9D9"/>
            <w:vAlign w:val="center"/>
            <w:hideMark/>
          </w:tcPr>
          <w:p w14:paraId="7F34A559" w14:textId="77777777" w:rsidR="002F2C71" w:rsidRPr="002F2C71" w:rsidRDefault="002F2C71" w:rsidP="002F2C71">
            <w:pPr>
              <w:jc w:val="center"/>
              <w:rPr>
                <w:b/>
                <w:bCs/>
                <w:color w:val="000000"/>
                <w:szCs w:val="24"/>
                <w:lang w:val="en-GB" w:eastAsia="en-GB"/>
                <w14:ligatures w14:val="none"/>
              </w:rPr>
            </w:pPr>
            <w:r w:rsidRPr="002F2C71">
              <w:rPr>
                <w:b/>
                <w:bCs/>
                <w:color w:val="000000"/>
                <w:szCs w:val="24"/>
                <w:lang w:val="en-GB" w:eastAsia="en-GB"/>
                <w14:ligatures w14:val="none"/>
              </w:rPr>
              <w:t>Bid Security Amount in USD</w:t>
            </w:r>
          </w:p>
        </w:tc>
      </w:tr>
      <w:tr w:rsidR="002F2C71" w:rsidRPr="002F2C71" w14:paraId="3C2AB1FD" w14:textId="77777777" w:rsidTr="008D1CCC">
        <w:trPr>
          <w:trHeight w:val="320"/>
        </w:trPr>
        <w:tc>
          <w:tcPr>
            <w:tcW w:w="1842" w:type="dxa"/>
            <w:tcBorders>
              <w:top w:val="nil"/>
              <w:left w:val="single" w:sz="8" w:space="0" w:color="auto"/>
              <w:bottom w:val="single" w:sz="8" w:space="0" w:color="auto"/>
              <w:right w:val="single" w:sz="8" w:space="0" w:color="auto"/>
            </w:tcBorders>
            <w:vAlign w:val="center"/>
            <w:hideMark/>
          </w:tcPr>
          <w:p w14:paraId="375210DC" w14:textId="77777777" w:rsidR="002F2C71" w:rsidRPr="002F2C71" w:rsidRDefault="002F2C71" w:rsidP="002F2C71">
            <w:pPr>
              <w:jc w:val="center"/>
              <w:rPr>
                <w:color w:val="000000"/>
                <w:szCs w:val="24"/>
                <w:lang w:val="en-GB" w:eastAsia="en-GB"/>
                <w14:ligatures w14:val="none"/>
              </w:rPr>
            </w:pPr>
            <w:r w:rsidRPr="002F2C71">
              <w:rPr>
                <w:rFonts w:cs="Arial"/>
                <w:color w:val="000000"/>
                <w:szCs w:val="24"/>
                <w:lang w:val="en-GB" w:eastAsia="en-GB"/>
                <w14:ligatures w14:val="none"/>
              </w:rPr>
              <w:t>Lot 1</w:t>
            </w:r>
          </w:p>
        </w:tc>
        <w:tc>
          <w:tcPr>
            <w:tcW w:w="4111" w:type="dxa"/>
            <w:tcBorders>
              <w:top w:val="nil"/>
              <w:left w:val="nil"/>
              <w:bottom w:val="single" w:sz="8" w:space="0" w:color="auto"/>
              <w:right w:val="single" w:sz="8" w:space="0" w:color="auto"/>
            </w:tcBorders>
            <w:vAlign w:val="center"/>
            <w:hideMark/>
          </w:tcPr>
          <w:p w14:paraId="625D9BB1" w14:textId="77777777" w:rsidR="002F2C71" w:rsidRPr="002F2C71" w:rsidRDefault="002F2C71" w:rsidP="002F2C71">
            <w:pPr>
              <w:jc w:val="right"/>
              <w:rPr>
                <w:color w:val="000000"/>
                <w:szCs w:val="24"/>
                <w:lang w:val="en-GB" w:eastAsia="en-GB"/>
                <w14:ligatures w14:val="none"/>
              </w:rPr>
            </w:pPr>
            <w:r w:rsidRPr="002F2C71">
              <w:rPr>
                <w:color w:val="000000"/>
                <w:szCs w:val="24"/>
                <w:lang w:val="en-GB" w:eastAsia="en-GB"/>
                <w14:ligatures w14:val="none"/>
              </w:rPr>
              <w:t xml:space="preserve">  $4,300 </w:t>
            </w:r>
          </w:p>
        </w:tc>
      </w:tr>
      <w:tr w:rsidR="002F2C71" w:rsidRPr="002F2C71" w14:paraId="63D6AF02" w14:textId="77777777" w:rsidTr="008D1CCC">
        <w:trPr>
          <w:trHeight w:val="320"/>
        </w:trPr>
        <w:tc>
          <w:tcPr>
            <w:tcW w:w="1842" w:type="dxa"/>
            <w:tcBorders>
              <w:top w:val="nil"/>
              <w:left w:val="single" w:sz="8" w:space="0" w:color="auto"/>
              <w:bottom w:val="single" w:sz="8" w:space="0" w:color="auto"/>
              <w:right w:val="single" w:sz="8" w:space="0" w:color="auto"/>
            </w:tcBorders>
            <w:vAlign w:val="center"/>
            <w:hideMark/>
          </w:tcPr>
          <w:p w14:paraId="4CFB04D6" w14:textId="77777777" w:rsidR="002F2C71" w:rsidRPr="002F2C71" w:rsidRDefault="002F2C71" w:rsidP="002F2C71">
            <w:pPr>
              <w:jc w:val="center"/>
              <w:rPr>
                <w:color w:val="000000"/>
                <w:szCs w:val="24"/>
                <w:lang w:val="en-GB" w:eastAsia="en-GB"/>
                <w14:ligatures w14:val="none"/>
              </w:rPr>
            </w:pPr>
            <w:r w:rsidRPr="002F2C71">
              <w:rPr>
                <w:rFonts w:cs="Arial"/>
                <w:color w:val="000000"/>
                <w:szCs w:val="24"/>
                <w:lang w:val="en-GB" w:eastAsia="en-GB"/>
                <w14:ligatures w14:val="none"/>
              </w:rPr>
              <w:t>Lot 2</w:t>
            </w:r>
          </w:p>
        </w:tc>
        <w:tc>
          <w:tcPr>
            <w:tcW w:w="4111" w:type="dxa"/>
            <w:tcBorders>
              <w:top w:val="nil"/>
              <w:left w:val="nil"/>
              <w:bottom w:val="single" w:sz="8" w:space="0" w:color="auto"/>
              <w:right w:val="single" w:sz="8" w:space="0" w:color="auto"/>
            </w:tcBorders>
            <w:vAlign w:val="center"/>
            <w:hideMark/>
          </w:tcPr>
          <w:p w14:paraId="54F55BFC" w14:textId="77777777" w:rsidR="002F2C71" w:rsidRPr="002F2C71" w:rsidRDefault="002F2C71" w:rsidP="002F2C71">
            <w:pPr>
              <w:jc w:val="right"/>
              <w:rPr>
                <w:color w:val="000000"/>
                <w:szCs w:val="24"/>
                <w:lang w:val="en-GB" w:eastAsia="en-GB"/>
                <w14:ligatures w14:val="none"/>
              </w:rPr>
            </w:pPr>
            <w:r w:rsidRPr="002F2C71">
              <w:rPr>
                <w:color w:val="000000"/>
                <w:szCs w:val="24"/>
                <w:lang w:val="en-GB" w:eastAsia="en-GB"/>
                <w14:ligatures w14:val="none"/>
              </w:rPr>
              <w:t xml:space="preserve">    $4,300</w:t>
            </w:r>
          </w:p>
        </w:tc>
      </w:tr>
      <w:tr w:rsidR="002F2C71" w:rsidRPr="002F2C71" w14:paraId="2D13E8A2" w14:textId="77777777" w:rsidTr="008D1CCC">
        <w:trPr>
          <w:trHeight w:val="320"/>
        </w:trPr>
        <w:tc>
          <w:tcPr>
            <w:tcW w:w="1842" w:type="dxa"/>
            <w:tcBorders>
              <w:top w:val="nil"/>
              <w:left w:val="single" w:sz="8" w:space="0" w:color="auto"/>
              <w:bottom w:val="single" w:sz="8" w:space="0" w:color="auto"/>
              <w:right w:val="single" w:sz="8" w:space="0" w:color="auto"/>
            </w:tcBorders>
            <w:vAlign w:val="center"/>
            <w:hideMark/>
          </w:tcPr>
          <w:p w14:paraId="3E04BF1C" w14:textId="77777777" w:rsidR="002F2C71" w:rsidRPr="002F2C71" w:rsidRDefault="002F2C71" w:rsidP="002F2C71">
            <w:pPr>
              <w:jc w:val="center"/>
              <w:rPr>
                <w:color w:val="000000"/>
                <w:szCs w:val="24"/>
                <w:lang w:val="en-GB" w:eastAsia="en-GB"/>
                <w14:ligatures w14:val="none"/>
              </w:rPr>
            </w:pPr>
            <w:r w:rsidRPr="002F2C71">
              <w:rPr>
                <w:rFonts w:cs="Arial"/>
                <w:color w:val="000000"/>
                <w:szCs w:val="24"/>
                <w:lang w:val="en-GB" w:eastAsia="en-GB"/>
                <w14:ligatures w14:val="none"/>
              </w:rPr>
              <w:t>Lot 3</w:t>
            </w:r>
          </w:p>
        </w:tc>
        <w:tc>
          <w:tcPr>
            <w:tcW w:w="4111" w:type="dxa"/>
            <w:tcBorders>
              <w:top w:val="nil"/>
              <w:left w:val="nil"/>
              <w:bottom w:val="single" w:sz="8" w:space="0" w:color="auto"/>
              <w:right w:val="single" w:sz="8" w:space="0" w:color="auto"/>
            </w:tcBorders>
            <w:vAlign w:val="center"/>
            <w:hideMark/>
          </w:tcPr>
          <w:p w14:paraId="572477C7" w14:textId="77777777" w:rsidR="002F2C71" w:rsidRPr="002F2C71" w:rsidRDefault="002F2C71" w:rsidP="002F2C71">
            <w:pPr>
              <w:jc w:val="right"/>
              <w:rPr>
                <w:color w:val="000000"/>
                <w:szCs w:val="24"/>
                <w:lang w:val="en-GB" w:eastAsia="en-GB"/>
                <w14:ligatures w14:val="none"/>
              </w:rPr>
            </w:pPr>
            <w:r w:rsidRPr="002F2C71">
              <w:rPr>
                <w:color w:val="000000"/>
                <w:szCs w:val="24"/>
                <w:lang w:val="en-GB" w:eastAsia="en-GB"/>
                <w14:ligatures w14:val="none"/>
              </w:rPr>
              <w:t xml:space="preserve">Not required </w:t>
            </w:r>
          </w:p>
        </w:tc>
      </w:tr>
      <w:tr w:rsidR="002F2C71" w:rsidRPr="002F2C71" w14:paraId="1F1F9366" w14:textId="77777777" w:rsidTr="008D1CCC">
        <w:trPr>
          <w:trHeight w:val="320"/>
        </w:trPr>
        <w:tc>
          <w:tcPr>
            <w:tcW w:w="1842" w:type="dxa"/>
            <w:tcBorders>
              <w:top w:val="nil"/>
              <w:left w:val="single" w:sz="8" w:space="0" w:color="auto"/>
              <w:bottom w:val="single" w:sz="8" w:space="0" w:color="auto"/>
              <w:right w:val="single" w:sz="8" w:space="0" w:color="auto"/>
            </w:tcBorders>
            <w:vAlign w:val="center"/>
            <w:hideMark/>
          </w:tcPr>
          <w:p w14:paraId="6FD0526F" w14:textId="77777777" w:rsidR="002F2C71" w:rsidRPr="002F2C71" w:rsidRDefault="002F2C71" w:rsidP="002F2C71">
            <w:pPr>
              <w:jc w:val="center"/>
              <w:rPr>
                <w:color w:val="000000"/>
                <w:szCs w:val="24"/>
                <w:lang w:val="en-GB" w:eastAsia="en-GB"/>
                <w14:ligatures w14:val="none"/>
              </w:rPr>
            </w:pPr>
            <w:r w:rsidRPr="002F2C71">
              <w:rPr>
                <w:rFonts w:cs="Arial"/>
                <w:color w:val="000000"/>
                <w:szCs w:val="24"/>
                <w:lang w:val="en-GB" w:eastAsia="en-GB"/>
                <w14:ligatures w14:val="none"/>
              </w:rPr>
              <w:t>Lot 4</w:t>
            </w:r>
          </w:p>
        </w:tc>
        <w:tc>
          <w:tcPr>
            <w:tcW w:w="4111" w:type="dxa"/>
            <w:tcBorders>
              <w:top w:val="nil"/>
              <w:left w:val="nil"/>
              <w:bottom w:val="single" w:sz="8" w:space="0" w:color="auto"/>
              <w:right w:val="single" w:sz="8" w:space="0" w:color="auto"/>
            </w:tcBorders>
            <w:vAlign w:val="center"/>
            <w:hideMark/>
          </w:tcPr>
          <w:p w14:paraId="25F76662" w14:textId="77777777" w:rsidR="002F2C71" w:rsidRPr="002F2C71" w:rsidRDefault="002F2C71" w:rsidP="002F2C71">
            <w:pPr>
              <w:jc w:val="right"/>
              <w:rPr>
                <w:color w:val="000000"/>
                <w:szCs w:val="24"/>
                <w:lang w:val="en-GB" w:eastAsia="en-GB"/>
                <w14:ligatures w14:val="none"/>
              </w:rPr>
            </w:pPr>
            <w:r w:rsidRPr="002F2C71">
              <w:rPr>
                <w:color w:val="000000"/>
                <w:szCs w:val="24"/>
                <w:lang w:val="en-GB" w:eastAsia="en-GB"/>
                <w14:ligatures w14:val="none"/>
              </w:rPr>
              <w:t xml:space="preserve">  $800 </w:t>
            </w:r>
          </w:p>
        </w:tc>
      </w:tr>
      <w:tr w:rsidR="002F2C71" w:rsidRPr="002F2C71" w14:paraId="0C258DDC" w14:textId="77777777" w:rsidTr="008D1CCC">
        <w:trPr>
          <w:trHeight w:val="320"/>
        </w:trPr>
        <w:tc>
          <w:tcPr>
            <w:tcW w:w="1842" w:type="dxa"/>
            <w:tcBorders>
              <w:top w:val="nil"/>
              <w:left w:val="single" w:sz="8" w:space="0" w:color="auto"/>
              <w:bottom w:val="single" w:sz="8" w:space="0" w:color="auto"/>
              <w:right w:val="single" w:sz="8" w:space="0" w:color="auto"/>
            </w:tcBorders>
            <w:vAlign w:val="center"/>
            <w:hideMark/>
          </w:tcPr>
          <w:p w14:paraId="196662B5" w14:textId="77777777" w:rsidR="002F2C71" w:rsidRPr="002F2C71" w:rsidRDefault="002F2C71" w:rsidP="002F2C71">
            <w:pPr>
              <w:jc w:val="center"/>
              <w:rPr>
                <w:color w:val="000000"/>
                <w:szCs w:val="24"/>
                <w:lang w:val="en-GB" w:eastAsia="en-GB"/>
                <w14:ligatures w14:val="none"/>
              </w:rPr>
            </w:pPr>
            <w:r w:rsidRPr="002F2C71">
              <w:rPr>
                <w:rFonts w:cs="Arial"/>
                <w:color w:val="000000"/>
                <w:szCs w:val="24"/>
                <w:lang w:val="en-GB" w:eastAsia="en-GB"/>
                <w14:ligatures w14:val="none"/>
              </w:rPr>
              <w:t>Lot 5</w:t>
            </w:r>
          </w:p>
        </w:tc>
        <w:tc>
          <w:tcPr>
            <w:tcW w:w="4111" w:type="dxa"/>
            <w:tcBorders>
              <w:top w:val="nil"/>
              <w:left w:val="nil"/>
              <w:bottom w:val="single" w:sz="8" w:space="0" w:color="auto"/>
              <w:right w:val="single" w:sz="8" w:space="0" w:color="auto"/>
            </w:tcBorders>
            <w:vAlign w:val="center"/>
            <w:hideMark/>
          </w:tcPr>
          <w:p w14:paraId="07E58B81" w14:textId="77777777" w:rsidR="002F2C71" w:rsidRPr="002F2C71" w:rsidRDefault="002F2C71" w:rsidP="002F2C71">
            <w:pPr>
              <w:jc w:val="right"/>
              <w:rPr>
                <w:color w:val="000000"/>
                <w:szCs w:val="24"/>
                <w:lang w:val="en-GB" w:eastAsia="en-GB"/>
                <w14:ligatures w14:val="none"/>
              </w:rPr>
            </w:pPr>
            <w:r w:rsidRPr="002F2C71">
              <w:rPr>
                <w:color w:val="000000"/>
                <w:szCs w:val="24"/>
                <w:lang w:val="en-GB" w:eastAsia="en-GB"/>
                <w14:ligatures w14:val="none"/>
              </w:rPr>
              <w:t xml:space="preserve">  $1,000  </w:t>
            </w:r>
          </w:p>
        </w:tc>
      </w:tr>
      <w:tr w:rsidR="002F2C71" w:rsidRPr="002F2C71" w14:paraId="244919F1" w14:textId="77777777" w:rsidTr="008D1CCC">
        <w:trPr>
          <w:trHeight w:val="320"/>
        </w:trPr>
        <w:tc>
          <w:tcPr>
            <w:tcW w:w="1842" w:type="dxa"/>
            <w:tcBorders>
              <w:top w:val="nil"/>
              <w:left w:val="single" w:sz="8" w:space="0" w:color="auto"/>
              <w:bottom w:val="single" w:sz="8" w:space="0" w:color="auto"/>
              <w:right w:val="single" w:sz="8" w:space="0" w:color="auto"/>
            </w:tcBorders>
            <w:vAlign w:val="center"/>
            <w:hideMark/>
          </w:tcPr>
          <w:p w14:paraId="17BFFB07" w14:textId="77777777" w:rsidR="002F2C71" w:rsidRPr="002F2C71" w:rsidRDefault="002F2C71" w:rsidP="002F2C71">
            <w:pPr>
              <w:jc w:val="center"/>
              <w:rPr>
                <w:color w:val="000000"/>
                <w:szCs w:val="24"/>
                <w:lang w:val="en-GB" w:eastAsia="en-GB"/>
                <w14:ligatures w14:val="none"/>
              </w:rPr>
            </w:pPr>
            <w:r w:rsidRPr="002F2C71">
              <w:rPr>
                <w:rFonts w:cs="Arial"/>
                <w:color w:val="000000"/>
                <w:szCs w:val="24"/>
                <w:lang w:val="en-GB" w:eastAsia="en-GB"/>
                <w14:ligatures w14:val="none"/>
              </w:rPr>
              <w:t>Lot 6</w:t>
            </w:r>
          </w:p>
        </w:tc>
        <w:tc>
          <w:tcPr>
            <w:tcW w:w="4111" w:type="dxa"/>
            <w:tcBorders>
              <w:top w:val="nil"/>
              <w:left w:val="nil"/>
              <w:bottom w:val="single" w:sz="8" w:space="0" w:color="auto"/>
              <w:right w:val="single" w:sz="8" w:space="0" w:color="auto"/>
            </w:tcBorders>
            <w:vAlign w:val="center"/>
            <w:hideMark/>
          </w:tcPr>
          <w:p w14:paraId="3B0E07AC" w14:textId="77777777" w:rsidR="002F2C71" w:rsidRPr="002F2C71" w:rsidRDefault="002F2C71" w:rsidP="002F2C71">
            <w:pPr>
              <w:jc w:val="right"/>
              <w:rPr>
                <w:color w:val="000000"/>
                <w:szCs w:val="24"/>
                <w:lang w:val="en-GB" w:eastAsia="en-GB"/>
                <w14:ligatures w14:val="none"/>
              </w:rPr>
            </w:pPr>
            <w:r w:rsidRPr="002F2C71">
              <w:rPr>
                <w:color w:val="000000"/>
                <w:szCs w:val="24"/>
                <w:lang w:val="en-GB" w:eastAsia="en-GB"/>
                <w14:ligatures w14:val="none"/>
              </w:rPr>
              <w:t xml:space="preserve">Not required </w:t>
            </w:r>
          </w:p>
        </w:tc>
      </w:tr>
      <w:tr w:rsidR="002F2C71" w:rsidRPr="002F2C71" w14:paraId="51B43D2E" w14:textId="77777777" w:rsidTr="008D1CCC">
        <w:trPr>
          <w:trHeight w:val="320"/>
        </w:trPr>
        <w:tc>
          <w:tcPr>
            <w:tcW w:w="1842" w:type="dxa"/>
            <w:tcBorders>
              <w:top w:val="nil"/>
              <w:left w:val="single" w:sz="8" w:space="0" w:color="auto"/>
              <w:bottom w:val="single" w:sz="8" w:space="0" w:color="auto"/>
              <w:right w:val="single" w:sz="8" w:space="0" w:color="auto"/>
            </w:tcBorders>
            <w:vAlign w:val="center"/>
            <w:hideMark/>
          </w:tcPr>
          <w:p w14:paraId="2374FED4" w14:textId="77777777" w:rsidR="002F2C71" w:rsidRPr="002F2C71" w:rsidRDefault="002F2C71" w:rsidP="002F2C71">
            <w:pPr>
              <w:jc w:val="center"/>
              <w:rPr>
                <w:color w:val="000000"/>
                <w:szCs w:val="24"/>
                <w:lang w:val="en-GB" w:eastAsia="en-GB"/>
                <w14:ligatures w14:val="none"/>
              </w:rPr>
            </w:pPr>
            <w:r w:rsidRPr="002F2C71">
              <w:rPr>
                <w:rFonts w:cs="Arial"/>
                <w:color w:val="000000"/>
                <w:szCs w:val="24"/>
                <w:lang w:val="en-GB" w:eastAsia="en-GB"/>
                <w14:ligatures w14:val="none"/>
              </w:rPr>
              <w:t>Lot 7</w:t>
            </w:r>
          </w:p>
        </w:tc>
        <w:tc>
          <w:tcPr>
            <w:tcW w:w="4111" w:type="dxa"/>
            <w:tcBorders>
              <w:top w:val="nil"/>
              <w:left w:val="nil"/>
              <w:bottom w:val="single" w:sz="8" w:space="0" w:color="auto"/>
              <w:right w:val="single" w:sz="8" w:space="0" w:color="auto"/>
            </w:tcBorders>
            <w:vAlign w:val="center"/>
            <w:hideMark/>
          </w:tcPr>
          <w:p w14:paraId="5A60E168" w14:textId="77777777" w:rsidR="002F2C71" w:rsidRPr="002F2C71" w:rsidRDefault="002F2C71" w:rsidP="002F2C71">
            <w:pPr>
              <w:jc w:val="right"/>
              <w:rPr>
                <w:color w:val="000000"/>
                <w:szCs w:val="24"/>
                <w:lang w:val="en-GB" w:eastAsia="en-GB"/>
                <w14:ligatures w14:val="none"/>
              </w:rPr>
            </w:pPr>
            <w:r w:rsidRPr="002F2C71">
              <w:rPr>
                <w:color w:val="000000"/>
                <w:szCs w:val="24"/>
                <w:lang w:val="en-GB" w:eastAsia="en-GB"/>
                <w14:ligatures w14:val="none"/>
              </w:rPr>
              <w:t xml:space="preserve"> $5,000 </w:t>
            </w:r>
          </w:p>
        </w:tc>
      </w:tr>
    </w:tbl>
    <w:p w14:paraId="0A9BE4DB" w14:textId="77777777" w:rsidR="002F2C71" w:rsidRPr="002F2C71" w:rsidRDefault="002F2C71" w:rsidP="002F2C71">
      <w:pPr>
        <w:spacing w:after="160" w:line="259" w:lineRule="auto"/>
        <w:rPr>
          <w:rFonts w:eastAsiaTheme="minorHAnsi"/>
          <w:b/>
          <w:bCs/>
          <w:kern w:val="2"/>
          <w:sz w:val="22"/>
          <w:szCs w:val="22"/>
        </w:rPr>
      </w:pPr>
    </w:p>
    <w:p w14:paraId="19A7628E" w14:textId="77777777" w:rsidR="002F2C71" w:rsidRPr="002F2C71" w:rsidRDefault="002F2C71" w:rsidP="002F2C71">
      <w:pPr>
        <w:tabs>
          <w:tab w:val="right" w:pos="7254"/>
        </w:tabs>
        <w:spacing w:before="120" w:after="120" w:line="259" w:lineRule="auto"/>
        <w:rPr>
          <w:szCs w:val="24"/>
        </w:rPr>
      </w:pPr>
      <w:r w:rsidRPr="002F2C71">
        <w:rPr>
          <w:rFonts w:eastAsiaTheme="minorHAnsi"/>
          <w:b/>
          <w:bCs/>
          <w:kern w:val="2"/>
          <w:szCs w:val="24"/>
        </w:rPr>
        <w:t xml:space="preserve">ITB 22.1.   </w:t>
      </w:r>
      <w:r w:rsidRPr="002F2C71">
        <w:rPr>
          <w:szCs w:val="24"/>
        </w:rPr>
        <w:t xml:space="preserve">The Bidder shall submit the following additional documents in its Bid: </w:t>
      </w:r>
    </w:p>
    <w:p w14:paraId="457C8F84" w14:textId="77777777" w:rsidR="002F2C71" w:rsidRPr="002F2C71" w:rsidRDefault="002F2C71" w:rsidP="002F2C71">
      <w:pPr>
        <w:numPr>
          <w:ilvl w:val="0"/>
          <w:numId w:val="2"/>
        </w:numPr>
        <w:tabs>
          <w:tab w:val="right" w:pos="7254"/>
        </w:tabs>
        <w:spacing w:before="120" w:after="120" w:line="259" w:lineRule="auto"/>
        <w:contextualSpacing/>
        <w:rPr>
          <w:szCs w:val="24"/>
          <w14:ligatures w14:val="none"/>
        </w:rPr>
      </w:pPr>
      <w:r w:rsidRPr="002F2C71">
        <w:rPr>
          <w:szCs w:val="24"/>
          <w14:ligatures w14:val="none"/>
        </w:rPr>
        <w:lastRenderedPageBreak/>
        <w:t>Copies of business licenses and/certificate of incorporation showing legal status, date of registration and principal place of business. (For JV, each member must submit)</w:t>
      </w:r>
    </w:p>
    <w:p w14:paraId="569AA20E" w14:textId="77777777" w:rsidR="002F2C71" w:rsidRPr="002F2C71" w:rsidRDefault="002F2C71" w:rsidP="002F2C71">
      <w:pPr>
        <w:numPr>
          <w:ilvl w:val="0"/>
          <w:numId w:val="2"/>
        </w:numPr>
        <w:tabs>
          <w:tab w:val="right" w:pos="7254"/>
        </w:tabs>
        <w:spacing w:before="120" w:after="120" w:line="259" w:lineRule="auto"/>
        <w:contextualSpacing/>
        <w:rPr>
          <w:szCs w:val="24"/>
          <w14:ligatures w14:val="none"/>
        </w:rPr>
      </w:pPr>
      <w:r w:rsidRPr="002F2C71">
        <w:rPr>
          <w:szCs w:val="24"/>
          <w14:ligatures w14:val="none"/>
        </w:rPr>
        <w:t>Memorandum of Understanding (JV Agreement) where bidders participate as a Joint venture</w:t>
      </w:r>
    </w:p>
    <w:p w14:paraId="0547CA88" w14:textId="77777777" w:rsidR="002F2C71" w:rsidRPr="002F2C71" w:rsidRDefault="002F2C71" w:rsidP="002F2C71">
      <w:pPr>
        <w:numPr>
          <w:ilvl w:val="0"/>
          <w:numId w:val="2"/>
        </w:numPr>
        <w:tabs>
          <w:tab w:val="right" w:pos="7254"/>
        </w:tabs>
        <w:spacing w:before="120" w:after="120" w:line="259" w:lineRule="auto"/>
        <w:contextualSpacing/>
        <w:rPr>
          <w:szCs w:val="24"/>
          <w14:ligatures w14:val="none"/>
        </w:rPr>
      </w:pPr>
      <w:r w:rsidRPr="002F2C71">
        <w:rPr>
          <w:szCs w:val="24"/>
          <w14:ligatures w14:val="none"/>
        </w:rPr>
        <w:t>Power of Attorney (Letter of Authorization to sign on behalf of the Bidder)</w:t>
      </w:r>
    </w:p>
    <w:p w14:paraId="2E3175E9" w14:textId="77777777" w:rsidR="002F2C71" w:rsidRPr="002F2C71" w:rsidRDefault="002F2C71" w:rsidP="002F2C71">
      <w:pPr>
        <w:numPr>
          <w:ilvl w:val="0"/>
          <w:numId w:val="2"/>
        </w:numPr>
        <w:tabs>
          <w:tab w:val="right" w:pos="7254"/>
        </w:tabs>
        <w:spacing w:before="120" w:after="120" w:line="259" w:lineRule="auto"/>
        <w:contextualSpacing/>
        <w:rPr>
          <w:szCs w:val="24"/>
          <w14:ligatures w14:val="none"/>
        </w:rPr>
      </w:pPr>
      <w:r w:rsidRPr="002F2C71">
        <w:rPr>
          <w:szCs w:val="24"/>
          <w14:ligatures w14:val="none"/>
        </w:rPr>
        <w:t>Bid security</w:t>
      </w:r>
    </w:p>
    <w:p w14:paraId="3A852F75" w14:textId="77777777" w:rsidR="002F2C71" w:rsidRDefault="002F2C71" w:rsidP="002F2C71">
      <w:pPr>
        <w:numPr>
          <w:ilvl w:val="0"/>
          <w:numId w:val="2"/>
        </w:numPr>
        <w:tabs>
          <w:tab w:val="right" w:pos="7254"/>
        </w:tabs>
        <w:spacing w:before="120" w:after="120" w:line="259" w:lineRule="auto"/>
        <w:contextualSpacing/>
        <w:rPr>
          <w:szCs w:val="24"/>
          <w14:ligatures w14:val="none"/>
        </w:rPr>
      </w:pPr>
      <w:r w:rsidRPr="002F2C71">
        <w:rPr>
          <w:szCs w:val="24"/>
          <w14:ligatures w14:val="none"/>
        </w:rPr>
        <w:t xml:space="preserve">Evidence of availability in the Purchaser’s Country of spare parts and after-sales services for the equipment offered in the Bid. </w:t>
      </w:r>
    </w:p>
    <w:p w14:paraId="5431E34C" w14:textId="79BC4C4A" w:rsidR="007C5645" w:rsidRPr="002F2C71" w:rsidRDefault="00C74234" w:rsidP="00CE3476">
      <w:pPr>
        <w:numPr>
          <w:ilvl w:val="0"/>
          <w:numId w:val="2"/>
        </w:numPr>
        <w:shd w:val="clear" w:color="auto" w:fill="FFFFFF" w:themeFill="background1"/>
        <w:tabs>
          <w:tab w:val="right" w:pos="7254"/>
        </w:tabs>
        <w:spacing w:before="120" w:after="120" w:line="259" w:lineRule="auto"/>
        <w:contextualSpacing/>
        <w:rPr>
          <w:szCs w:val="24"/>
          <w14:ligatures w14:val="none"/>
        </w:rPr>
      </w:pPr>
      <w:r w:rsidRPr="00C74234">
        <w:rPr>
          <w:szCs w:val="24"/>
          <w14:ligatures w14:val="none"/>
        </w:rPr>
        <w:t>CE and/or CE IVD certificates for</w:t>
      </w:r>
      <w:r>
        <w:rPr>
          <w:szCs w:val="24"/>
          <w14:ligatures w14:val="none"/>
        </w:rPr>
        <w:t xml:space="preserve"> Lot I.</w:t>
      </w:r>
    </w:p>
    <w:p w14:paraId="227A5DBE" w14:textId="77777777" w:rsidR="002F2C71" w:rsidRPr="002F2C71" w:rsidRDefault="002F2C71" w:rsidP="002F2C71">
      <w:pPr>
        <w:spacing w:after="160" w:line="259" w:lineRule="auto"/>
        <w:rPr>
          <w:rFonts w:eastAsiaTheme="minorHAnsi"/>
          <w:bCs/>
          <w:kern w:val="2"/>
          <w:szCs w:val="24"/>
        </w:rPr>
      </w:pPr>
    </w:p>
    <w:p w14:paraId="4B6B0B61" w14:textId="77777777" w:rsidR="002F2C71" w:rsidRPr="002F2C71" w:rsidRDefault="002F2C71" w:rsidP="002F2C71">
      <w:pPr>
        <w:tabs>
          <w:tab w:val="right" w:pos="7254"/>
        </w:tabs>
        <w:spacing w:before="120" w:after="120" w:line="259" w:lineRule="auto"/>
        <w:rPr>
          <w:rFonts w:eastAsiaTheme="minorHAnsi"/>
          <w:bCs/>
          <w:kern w:val="2"/>
          <w:szCs w:val="24"/>
        </w:rPr>
      </w:pPr>
      <w:r w:rsidRPr="002F2C71">
        <w:rPr>
          <w:rFonts w:eastAsiaTheme="minorHAnsi"/>
          <w:b/>
          <w:bCs/>
          <w:kern w:val="2"/>
          <w:szCs w:val="24"/>
        </w:rPr>
        <w:t xml:space="preserve">ITB 32.1. </w:t>
      </w:r>
      <w:r w:rsidRPr="002F2C71">
        <w:rPr>
          <w:rFonts w:eastAsiaTheme="minorHAnsi"/>
          <w:bCs/>
          <w:kern w:val="2"/>
          <w:szCs w:val="24"/>
        </w:rPr>
        <w:t xml:space="preserve"> </w:t>
      </w:r>
      <w:r w:rsidRPr="002F2C71">
        <w:rPr>
          <w:rFonts w:eastAsiaTheme="minorHAnsi"/>
          <w:bCs/>
          <w:kern w:val="2"/>
          <w:szCs w:val="24"/>
        </w:rPr>
        <w:tab/>
      </w:r>
    </w:p>
    <w:p w14:paraId="64A05B68" w14:textId="77777777" w:rsidR="002F2C71" w:rsidRPr="002F2C71" w:rsidRDefault="002F2C71" w:rsidP="002F2C71">
      <w:pPr>
        <w:tabs>
          <w:tab w:val="right" w:pos="7254"/>
        </w:tabs>
        <w:spacing w:before="120" w:after="120" w:line="259" w:lineRule="auto"/>
        <w:rPr>
          <w:rFonts w:eastAsiaTheme="minorHAnsi"/>
          <w:bCs/>
          <w:kern w:val="2"/>
          <w:szCs w:val="24"/>
        </w:rPr>
      </w:pPr>
    </w:p>
    <w:p w14:paraId="76DF9672" w14:textId="77777777" w:rsidR="002F2C71" w:rsidRPr="002F2C71" w:rsidRDefault="002F2C71" w:rsidP="002F2C71">
      <w:pPr>
        <w:tabs>
          <w:tab w:val="right" w:pos="7254"/>
        </w:tabs>
        <w:spacing w:before="120" w:after="120" w:line="259" w:lineRule="auto"/>
        <w:rPr>
          <w:i/>
          <w:szCs w:val="24"/>
          <w14:ligatures w14:val="none"/>
        </w:rPr>
      </w:pPr>
      <w:r w:rsidRPr="002F2C71">
        <w:rPr>
          <w:szCs w:val="24"/>
          <w14:ligatures w14:val="none"/>
        </w:rPr>
        <w:t xml:space="preserve">The currency that shall be used for Bid evaluation and comparison purposes to convert at the selling exchange rate all Bid prices expressed in various currencies into a single currency is: </w:t>
      </w:r>
      <w:r w:rsidRPr="002F2C71">
        <w:rPr>
          <w:b/>
          <w:i/>
          <w:szCs w:val="24"/>
          <w14:ligatures w14:val="none"/>
        </w:rPr>
        <w:t>United States Dollar (USD)</w:t>
      </w:r>
      <w:r w:rsidRPr="002F2C71">
        <w:rPr>
          <w:i/>
          <w:szCs w:val="24"/>
          <w14:ligatures w14:val="none"/>
        </w:rPr>
        <w:t xml:space="preserve"> </w:t>
      </w:r>
    </w:p>
    <w:p w14:paraId="7A9B824E" w14:textId="77777777" w:rsidR="002F2C71" w:rsidRPr="002F2C71" w:rsidRDefault="002F2C71" w:rsidP="002F2C71">
      <w:pPr>
        <w:tabs>
          <w:tab w:val="right" w:pos="7254"/>
        </w:tabs>
        <w:spacing w:before="120" w:after="120"/>
        <w:rPr>
          <w:b/>
          <w:szCs w:val="24"/>
          <w14:ligatures w14:val="none"/>
        </w:rPr>
      </w:pPr>
      <w:r w:rsidRPr="002F2C71">
        <w:rPr>
          <w:szCs w:val="24"/>
          <w14:ligatures w14:val="none"/>
        </w:rPr>
        <w:t xml:space="preserve">The source of exchange rate shall be: </w:t>
      </w:r>
      <w:hyperlink r:id="rId7" w:history="1">
        <w:r w:rsidRPr="002F2C71">
          <w:rPr>
            <w:b/>
            <w:i/>
            <w:color w:val="0000FF"/>
            <w:szCs w:val="24"/>
            <w:u w:val="single"/>
            <w14:ligatures w14:val="none"/>
          </w:rPr>
          <w:t>https://treasury.un.org/operationalrates/OperationalRates.php</w:t>
        </w:r>
      </w:hyperlink>
      <w:r w:rsidRPr="002F2C71">
        <w:rPr>
          <w:b/>
          <w:i/>
          <w:szCs w:val="24"/>
          <w14:ligatures w14:val="none"/>
        </w:rPr>
        <w:t xml:space="preserve"> </w:t>
      </w:r>
    </w:p>
    <w:p w14:paraId="00D4559D" w14:textId="1F99B8EB" w:rsidR="00AD5572" w:rsidRPr="00637CCC" w:rsidRDefault="002F2C71" w:rsidP="002F2C71">
      <w:pPr>
        <w:suppressAutoHyphens/>
      </w:pPr>
      <w:r w:rsidRPr="002F2C71">
        <w:rPr>
          <w:szCs w:val="24"/>
          <w14:ligatures w14:val="none"/>
        </w:rPr>
        <w:t xml:space="preserve">The date for the exchange rate shall </w:t>
      </w:r>
      <w:proofErr w:type="gramStart"/>
      <w:r w:rsidRPr="002F2C71">
        <w:rPr>
          <w:szCs w:val="24"/>
          <w14:ligatures w14:val="none"/>
        </w:rPr>
        <w:t>be</w:t>
      </w:r>
      <w:r w:rsidRPr="002F2C71">
        <w:rPr>
          <w:i/>
          <w:szCs w:val="24"/>
          <w14:ligatures w14:val="none"/>
        </w:rPr>
        <w:t>:</w:t>
      </w:r>
      <w:proofErr w:type="gramEnd"/>
      <w:r w:rsidRPr="002F2C71">
        <w:rPr>
          <w:i/>
          <w:szCs w:val="24"/>
          <w14:ligatures w14:val="none"/>
        </w:rPr>
        <w:t xml:space="preserve"> 29</w:t>
      </w:r>
      <w:r w:rsidRPr="002F2C71">
        <w:rPr>
          <w:i/>
          <w:szCs w:val="24"/>
          <w:vertAlign w:val="superscript"/>
          <w14:ligatures w14:val="none"/>
        </w:rPr>
        <w:t>th</w:t>
      </w:r>
      <w:r w:rsidRPr="002F2C71">
        <w:rPr>
          <w:i/>
          <w:szCs w:val="24"/>
          <w14:ligatures w14:val="none"/>
        </w:rPr>
        <w:t xml:space="preserve"> May 202</w:t>
      </w:r>
      <w:r w:rsidR="005C3F46">
        <w:rPr>
          <w:i/>
          <w:szCs w:val="24"/>
          <w14:ligatures w14:val="none"/>
        </w:rPr>
        <w:t>6</w:t>
      </w:r>
    </w:p>
    <w:sectPr w:rsidR="00AD5572" w:rsidRPr="00637CC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EEA54" w14:textId="77777777" w:rsidR="00D01C65" w:rsidRDefault="00D01C65" w:rsidP="00917F01">
      <w:r>
        <w:separator/>
      </w:r>
    </w:p>
  </w:endnote>
  <w:endnote w:type="continuationSeparator" w:id="0">
    <w:p w14:paraId="5E90D17C" w14:textId="77777777" w:rsidR="00D01C65" w:rsidRDefault="00D01C65" w:rsidP="00917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E42E0" w14:textId="77777777" w:rsidR="00D01C65" w:rsidRDefault="00D01C65" w:rsidP="00917F01">
      <w:r>
        <w:separator/>
      </w:r>
    </w:p>
  </w:footnote>
  <w:footnote w:type="continuationSeparator" w:id="0">
    <w:p w14:paraId="177AB788" w14:textId="77777777" w:rsidR="00D01C65" w:rsidRDefault="00D01C65" w:rsidP="00917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157E0" w14:textId="303D29E6" w:rsidR="00917F01" w:rsidRDefault="00917F01">
    <w:pPr>
      <w:pStyle w:val="Header"/>
    </w:pPr>
    <w:r>
      <w:rPr>
        <w:noProof/>
      </w:rPr>
      <w:drawing>
        <wp:anchor distT="0" distB="0" distL="114300" distR="114300" simplePos="0" relativeHeight="251658752" behindDoc="1" locked="0" layoutInCell="1" allowOverlap="1" wp14:anchorId="45539409" wp14:editId="6C496338">
          <wp:simplePos x="0" y="0"/>
          <wp:positionH relativeFrom="column">
            <wp:posOffset>-184150</wp:posOffset>
          </wp:positionH>
          <wp:positionV relativeFrom="paragraph">
            <wp:posOffset>-457200</wp:posOffset>
          </wp:positionV>
          <wp:extent cx="1976755" cy="918210"/>
          <wp:effectExtent l="0" t="0" r="0" b="0"/>
          <wp:wrapNone/>
          <wp:docPr id="43" name="Picture 4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76755" cy="918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7FAC">
      <w:rPr>
        <w:noProof/>
      </w:rPr>
      <w:drawing>
        <wp:inline distT="0" distB="0" distL="0" distR="0" wp14:anchorId="07F6827C" wp14:editId="3F1FD97C">
          <wp:extent cx="5715000" cy="27432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15000" cy="2743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91514"/>
    <w:multiLevelType w:val="hybridMultilevel"/>
    <w:tmpl w:val="D64242DE"/>
    <w:lvl w:ilvl="0" w:tplc="3E0831B8">
      <w:start w:val="1"/>
      <w:numFmt w:val="decimal"/>
      <w:lvlText w:val="%1."/>
      <w:lvlJc w:val="left"/>
      <w:pPr>
        <w:ind w:left="1080" w:hanging="72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DB54D9"/>
    <w:multiLevelType w:val="hybridMultilevel"/>
    <w:tmpl w:val="0388B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0507675">
    <w:abstractNumId w:val="0"/>
  </w:num>
  <w:num w:numId="2" w16cid:durableId="891310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F01"/>
    <w:rsid w:val="00006E59"/>
    <w:rsid w:val="00015873"/>
    <w:rsid w:val="00021B22"/>
    <w:rsid w:val="000811F5"/>
    <w:rsid w:val="000C52B9"/>
    <w:rsid w:val="000C63E4"/>
    <w:rsid w:val="000D46A5"/>
    <w:rsid w:val="00115C8B"/>
    <w:rsid w:val="0011657F"/>
    <w:rsid w:val="001A7097"/>
    <w:rsid w:val="001F1D73"/>
    <w:rsid w:val="002079CE"/>
    <w:rsid w:val="002115A7"/>
    <w:rsid w:val="00244FA6"/>
    <w:rsid w:val="0025769B"/>
    <w:rsid w:val="00271428"/>
    <w:rsid w:val="002726E7"/>
    <w:rsid w:val="00272766"/>
    <w:rsid w:val="00276AAC"/>
    <w:rsid w:val="002C1A8D"/>
    <w:rsid w:val="002C2C48"/>
    <w:rsid w:val="002C3F4B"/>
    <w:rsid w:val="002C5232"/>
    <w:rsid w:val="002C6380"/>
    <w:rsid w:val="002E71D3"/>
    <w:rsid w:val="002F2C71"/>
    <w:rsid w:val="00311478"/>
    <w:rsid w:val="0036055C"/>
    <w:rsid w:val="00382621"/>
    <w:rsid w:val="003F1044"/>
    <w:rsid w:val="004308B6"/>
    <w:rsid w:val="004565C6"/>
    <w:rsid w:val="0047097F"/>
    <w:rsid w:val="00484026"/>
    <w:rsid w:val="004A1EF3"/>
    <w:rsid w:val="004E54D0"/>
    <w:rsid w:val="00503EED"/>
    <w:rsid w:val="00513FEE"/>
    <w:rsid w:val="005542A4"/>
    <w:rsid w:val="00564A68"/>
    <w:rsid w:val="00595344"/>
    <w:rsid w:val="005A6811"/>
    <w:rsid w:val="005C3F46"/>
    <w:rsid w:val="00610CB9"/>
    <w:rsid w:val="00637CCC"/>
    <w:rsid w:val="00656373"/>
    <w:rsid w:val="00674CF0"/>
    <w:rsid w:val="00686FDD"/>
    <w:rsid w:val="006968AD"/>
    <w:rsid w:val="006C149A"/>
    <w:rsid w:val="00700A0C"/>
    <w:rsid w:val="007568A5"/>
    <w:rsid w:val="007C5645"/>
    <w:rsid w:val="007E77D7"/>
    <w:rsid w:val="007F47D5"/>
    <w:rsid w:val="00816264"/>
    <w:rsid w:val="00847B4C"/>
    <w:rsid w:val="008637D5"/>
    <w:rsid w:val="00871CE0"/>
    <w:rsid w:val="008A573C"/>
    <w:rsid w:val="008B1266"/>
    <w:rsid w:val="008C2494"/>
    <w:rsid w:val="008F5D32"/>
    <w:rsid w:val="0090611F"/>
    <w:rsid w:val="00917F01"/>
    <w:rsid w:val="0092773C"/>
    <w:rsid w:val="009326A9"/>
    <w:rsid w:val="00972A7C"/>
    <w:rsid w:val="009A4BAC"/>
    <w:rsid w:val="009F14B9"/>
    <w:rsid w:val="00A13C85"/>
    <w:rsid w:val="00A21F16"/>
    <w:rsid w:val="00A44585"/>
    <w:rsid w:val="00A750C3"/>
    <w:rsid w:val="00A7580E"/>
    <w:rsid w:val="00AC505D"/>
    <w:rsid w:val="00AD5572"/>
    <w:rsid w:val="00AF417F"/>
    <w:rsid w:val="00B1131E"/>
    <w:rsid w:val="00B30E0F"/>
    <w:rsid w:val="00B60A08"/>
    <w:rsid w:val="00B62372"/>
    <w:rsid w:val="00BB2060"/>
    <w:rsid w:val="00BB43AD"/>
    <w:rsid w:val="00BB5CFF"/>
    <w:rsid w:val="00C02AA5"/>
    <w:rsid w:val="00C26CB0"/>
    <w:rsid w:val="00C3304A"/>
    <w:rsid w:val="00C414CF"/>
    <w:rsid w:val="00C706C6"/>
    <w:rsid w:val="00C74234"/>
    <w:rsid w:val="00C95C5D"/>
    <w:rsid w:val="00CE3476"/>
    <w:rsid w:val="00D01C65"/>
    <w:rsid w:val="00D139C5"/>
    <w:rsid w:val="00D30B68"/>
    <w:rsid w:val="00D514D9"/>
    <w:rsid w:val="00D958E4"/>
    <w:rsid w:val="00DB03C6"/>
    <w:rsid w:val="00DB78BD"/>
    <w:rsid w:val="00DE30B7"/>
    <w:rsid w:val="00DF2FA4"/>
    <w:rsid w:val="00DF7967"/>
    <w:rsid w:val="00E121D0"/>
    <w:rsid w:val="00E208D7"/>
    <w:rsid w:val="00E22A59"/>
    <w:rsid w:val="00E3259C"/>
    <w:rsid w:val="00E55556"/>
    <w:rsid w:val="00E57753"/>
    <w:rsid w:val="00E821FF"/>
    <w:rsid w:val="00E85C45"/>
    <w:rsid w:val="00EE4A28"/>
    <w:rsid w:val="00F2483B"/>
    <w:rsid w:val="00F3562D"/>
    <w:rsid w:val="00FD1BA0"/>
    <w:rsid w:val="00FD5D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0ABAC"/>
  <w15:chartTrackingRefBased/>
  <w15:docId w15:val="{6040D3FE-349B-436F-AD08-6348352A2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F01"/>
    <w:pPr>
      <w:spacing w:after="0" w:line="240" w:lineRule="auto"/>
    </w:pPr>
    <w:rPr>
      <w:rFonts w:ascii="Times New Roman" w:eastAsia="Times New Roman" w:hAnsi="Times New Roman" w:cs="Times New Roman"/>
      <w:kern w:val="0"/>
      <w:sz w:val="24"/>
      <w:szCs w:val="20"/>
    </w:rPr>
  </w:style>
  <w:style w:type="paragraph" w:styleId="Heading1">
    <w:name w:val="heading 1"/>
    <w:basedOn w:val="Normal"/>
    <w:next w:val="Normal"/>
    <w:link w:val="Heading1Char"/>
    <w:uiPriority w:val="9"/>
    <w:qFormat/>
    <w:rsid w:val="00917F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7F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7F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7F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7F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7F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7F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7F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7F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7F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7F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7F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7F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7F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7F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7F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7F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7F01"/>
    <w:rPr>
      <w:rFonts w:eastAsiaTheme="majorEastAsia" w:cstheme="majorBidi"/>
      <w:color w:val="272727" w:themeColor="text1" w:themeTint="D8"/>
    </w:rPr>
  </w:style>
  <w:style w:type="paragraph" w:styleId="Title">
    <w:name w:val="Title"/>
    <w:basedOn w:val="Normal"/>
    <w:next w:val="Normal"/>
    <w:link w:val="TitleChar"/>
    <w:uiPriority w:val="10"/>
    <w:qFormat/>
    <w:rsid w:val="00917F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7F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7F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7F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7F01"/>
    <w:pPr>
      <w:spacing w:before="160"/>
      <w:jc w:val="center"/>
    </w:pPr>
    <w:rPr>
      <w:i/>
      <w:iCs/>
      <w:color w:val="404040" w:themeColor="text1" w:themeTint="BF"/>
    </w:rPr>
  </w:style>
  <w:style w:type="character" w:customStyle="1" w:styleId="QuoteChar">
    <w:name w:val="Quote Char"/>
    <w:basedOn w:val="DefaultParagraphFont"/>
    <w:link w:val="Quote"/>
    <w:uiPriority w:val="29"/>
    <w:rsid w:val="00917F01"/>
    <w:rPr>
      <w:i/>
      <w:iCs/>
      <w:color w:val="404040" w:themeColor="text1" w:themeTint="BF"/>
    </w:rPr>
  </w:style>
  <w:style w:type="paragraph" w:styleId="ListParagraph">
    <w:name w:val="List Paragraph"/>
    <w:aliases w:val="Citation List,본문(내용),List Paragraph (numbered (a)),Colorful List - Accent 11,ADB Paragraph,lp1,Bullet Paragraph,List Paragraph nowy,Bullets,References,List Paragraph1,heading 6,WB List Paragraph,Liste 1,ANNEX,Ha"/>
    <w:basedOn w:val="Normal"/>
    <w:link w:val="ListParagraphChar"/>
    <w:uiPriority w:val="34"/>
    <w:qFormat/>
    <w:rsid w:val="00917F01"/>
    <w:pPr>
      <w:ind w:left="720"/>
      <w:contextualSpacing/>
    </w:pPr>
  </w:style>
  <w:style w:type="character" w:styleId="IntenseEmphasis">
    <w:name w:val="Intense Emphasis"/>
    <w:basedOn w:val="DefaultParagraphFont"/>
    <w:uiPriority w:val="21"/>
    <w:qFormat/>
    <w:rsid w:val="00917F01"/>
    <w:rPr>
      <w:i/>
      <w:iCs/>
      <w:color w:val="0F4761" w:themeColor="accent1" w:themeShade="BF"/>
    </w:rPr>
  </w:style>
  <w:style w:type="paragraph" w:styleId="IntenseQuote">
    <w:name w:val="Intense Quote"/>
    <w:basedOn w:val="Normal"/>
    <w:next w:val="Normal"/>
    <w:link w:val="IntenseQuoteChar"/>
    <w:uiPriority w:val="30"/>
    <w:qFormat/>
    <w:rsid w:val="00917F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7F01"/>
    <w:rPr>
      <w:i/>
      <w:iCs/>
      <w:color w:val="0F4761" w:themeColor="accent1" w:themeShade="BF"/>
    </w:rPr>
  </w:style>
  <w:style w:type="character" w:styleId="IntenseReference">
    <w:name w:val="Intense Reference"/>
    <w:basedOn w:val="DefaultParagraphFont"/>
    <w:uiPriority w:val="32"/>
    <w:qFormat/>
    <w:rsid w:val="00917F01"/>
    <w:rPr>
      <w:b/>
      <w:bCs/>
      <w:smallCaps/>
      <w:color w:val="0F4761" w:themeColor="accent1" w:themeShade="BF"/>
      <w:spacing w:val="5"/>
    </w:rPr>
  </w:style>
  <w:style w:type="character" w:styleId="Hyperlink">
    <w:name w:val="Hyperlink"/>
    <w:basedOn w:val="DefaultParagraphFont"/>
    <w:uiPriority w:val="99"/>
    <w:rsid w:val="00917F01"/>
    <w:rPr>
      <w:color w:val="0000FF"/>
      <w:u w:val="singl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917F01"/>
    <w:pPr>
      <w:spacing w:after="60"/>
      <w:ind w:left="360" w:hanging="360"/>
      <w:jc w:val="both"/>
    </w:pPr>
    <w:rPr>
      <w:sz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917F01"/>
    <w:rPr>
      <w:rFonts w:ascii="Times New Roman" w:eastAsia="Times New Roman" w:hAnsi="Times New Roman" w:cs="Times New Roman"/>
      <w:kern w:val="0"/>
      <w:sz w:val="20"/>
      <w:szCs w:val="20"/>
    </w:rPr>
  </w:style>
  <w:style w:type="character" w:styleId="FootnoteReference">
    <w:name w:val="footnote reference"/>
    <w:basedOn w:val="DefaultParagraphFont"/>
    <w:uiPriority w:val="99"/>
    <w:rsid w:val="00917F01"/>
    <w:rPr>
      <w:vertAlign w:val="superscript"/>
    </w:rPr>
  </w:style>
  <w:style w:type="paragraph" w:styleId="EndnoteText">
    <w:name w:val="endnote text"/>
    <w:basedOn w:val="Normal"/>
    <w:link w:val="EndnoteTextChar"/>
    <w:semiHidden/>
    <w:rsid w:val="00917F01"/>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customStyle="1" w:styleId="EndnoteTextChar">
    <w:name w:val="Endnote Text Char"/>
    <w:basedOn w:val="DefaultParagraphFont"/>
    <w:link w:val="EndnoteText"/>
    <w:semiHidden/>
    <w:rsid w:val="00917F01"/>
    <w:rPr>
      <w:rFonts w:ascii="Times New Roman" w:eastAsia="Times New Roman" w:hAnsi="Times New Roman" w:cs="Times New Roman"/>
      <w:kern w:val="0"/>
      <w:sz w:val="24"/>
      <w:szCs w:val="20"/>
    </w:rPr>
  </w:style>
  <w:style w:type="paragraph" w:customStyle="1" w:styleId="Heading1a">
    <w:name w:val="Heading 1a"/>
    <w:rsid w:val="00917F01"/>
    <w:pPr>
      <w:keepNext/>
      <w:keepLines/>
      <w:tabs>
        <w:tab w:val="left" w:pos="-720"/>
      </w:tabs>
      <w:suppressAutoHyphens/>
      <w:spacing w:after="0" w:line="240" w:lineRule="auto"/>
      <w:jc w:val="center"/>
    </w:pPr>
    <w:rPr>
      <w:rFonts w:ascii="Times New Roman" w:eastAsia="Times New Roman" w:hAnsi="Times New Roman" w:cs="Times New Roman"/>
      <w:b/>
      <w:smallCaps/>
      <w:kern w:val="0"/>
      <w:sz w:val="32"/>
      <w:szCs w:val="20"/>
    </w:rPr>
  </w:style>
  <w:style w:type="character" w:customStyle="1" w:styleId="ListParagraphChar">
    <w:name w:val="List Paragraph Char"/>
    <w:aliases w:val="Citation List Char,본문(내용) Char,List Paragraph (numbered (a)) Char,Colorful List - Accent 11 Char,ADB Paragraph Char,lp1 Char,Bullet Paragraph Char,List Paragraph nowy Char,Bullets Char,References Char,List Paragraph1 Char,ANNEX Char"/>
    <w:basedOn w:val="DefaultParagraphFont"/>
    <w:link w:val="ListParagraph"/>
    <w:uiPriority w:val="34"/>
    <w:rsid w:val="00917F01"/>
  </w:style>
  <w:style w:type="paragraph" w:styleId="Header">
    <w:name w:val="header"/>
    <w:basedOn w:val="Normal"/>
    <w:link w:val="HeaderChar"/>
    <w:uiPriority w:val="99"/>
    <w:unhideWhenUsed/>
    <w:rsid w:val="00917F01"/>
    <w:pPr>
      <w:tabs>
        <w:tab w:val="center" w:pos="4680"/>
        <w:tab w:val="right" w:pos="9360"/>
      </w:tabs>
    </w:pPr>
  </w:style>
  <w:style w:type="character" w:customStyle="1" w:styleId="HeaderChar">
    <w:name w:val="Header Char"/>
    <w:basedOn w:val="DefaultParagraphFont"/>
    <w:link w:val="Header"/>
    <w:uiPriority w:val="99"/>
    <w:rsid w:val="00917F01"/>
    <w:rPr>
      <w:rFonts w:ascii="Times New Roman" w:eastAsia="Times New Roman" w:hAnsi="Times New Roman" w:cs="Times New Roman"/>
      <w:kern w:val="0"/>
      <w:sz w:val="24"/>
      <w:szCs w:val="20"/>
    </w:rPr>
  </w:style>
  <w:style w:type="paragraph" w:styleId="Footer">
    <w:name w:val="footer"/>
    <w:basedOn w:val="Normal"/>
    <w:link w:val="FooterChar"/>
    <w:uiPriority w:val="99"/>
    <w:unhideWhenUsed/>
    <w:rsid w:val="00917F01"/>
    <w:pPr>
      <w:tabs>
        <w:tab w:val="center" w:pos="4680"/>
        <w:tab w:val="right" w:pos="9360"/>
      </w:tabs>
    </w:pPr>
  </w:style>
  <w:style w:type="character" w:customStyle="1" w:styleId="FooterChar">
    <w:name w:val="Footer Char"/>
    <w:basedOn w:val="DefaultParagraphFont"/>
    <w:link w:val="Footer"/>
    <w:uiPriority w:val="99"/>
    <w:rsid w:val="00917F01"/>
    <w:rPr>
      <w:rFonts w:ascii="Times New Roman" w:eastAsia="Times New Roman" w:hAnsi="Times New Roman" w:cs="Times New Roman"/>
      <w:kern w:val="0"/>
      <w:sz w:val="24"/>
      <w:szCs w:val="20"/>
    </w:rPr>
  </w:style>
  <w:style w:type="character" w:styleId="UnresolvedMention">
    <w:name w:val="Unresolved Mention"/>
    <w:basedOn w:val="DefaultParagraphFont"/>
    <w:uiPriority w:val="99"/>
    <w:semiHidden/>
    <w:unhideWhenUsed/>
    <w:rsid w:val="00637CCC"/>
    <w:rPr>
      <w:color w:val="605E5C"/>
      <w:shd w:val="clear" w:color="auto" w:fill="E1DFDD"/>
    </w:rPr>
  </w:style>
  <w:style w:type="table" w:customStyle="1" w:styleId="TableGrid2">
    <w:name w:val="Table Grid2"/>
    <w:basedOn w:val="TableNormal"/>
    <w:next w:val="TableGrid"/>
    <w:uiPriority w:val="39"/>
    <w:rsid w:val="00DF2FA4"/>
    <w:pPr>
      <w:spacing w:after="0" w:line="240"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DF2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5A6811"/>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9930">
      <w:bodyDiv w:val="1"/>
      <w:marLeft w:val="0"/>
      <w:marRight w:val="0"/>
      <w:marTop w:val="0"/>
      <w:marBottom w:val="0"/>
      <w:divBdr>
        <w:top w:val="none" w:sz="0" w:space="0" w:color="auto"/>
        <w:left w:val="none" w:sz="0" w:space="0" w:color="auto"/>
        <w:bottom w:val="none" w:sz="0" w:space="0" w:color="auto"/>
        <w:right w:val="none" w:sz="0" w:space="0" w:color="auto"/>
      </w:divBdr>
    </w:div>
    <w:div w:id="276181601">
      <w:bodyDiv w:val="1"/>
      <w:marLeft w:val="0"/>
      <w:marRight w:val="0"/>
      <w:marTop w:val="0"/>
      <w:marBottom w:val="0"/>
      <w:divBdr>
        <w:top w:val="none" w:sz="0" w:space="0" w:color="auto"/>
        <w:left w:val="none" w:sz="0" w:space="0" w:color="auto"/>
        <w:bottom w:val="none" w:sz="0" w:space="0" w:color="auto"/>
        <w:right w:val="none" w:sz="0" w:space="0" w:color="auto"/>
      </w:divBdr>
    </w:div>
    <w:div w:id="676153350">
      <w:bodyDiv w:val="1"/>
      <w:marLeft w:val="0"/>
      <w:marRight w:val="0"/>
      <w:marTop w:val="0"/>
      <w:marBottom w:val="0"/>
      <w:divBdr>
        <w:top w:val="none" w:sz="0" w:space="0" w:color="auto"/>
        <w:left w:val="none" w:sz="0" w:space="0" w:color="auto"/>
        <w:bottom w:val="none" w:sz="0" w:space="0" w:color="auto"/>
        <w:right w:val="none" w:sz="0" w:space="0" w:color="auto"/>
      </w:divBdr>
    </w:div>
    <w:div w:id="859974926">
      <w:bodyDiv w:val="1"/>
      <w:marLeft w:val="0"/>
      <w:marRight w:val="0"/>
      <w:marTop w:val="0"/>
      <w:marBottom w:val="0"/>
      <w:divBdr>
        <w:top w:val="none" w:sz="0" w:space="0" w:color="auto"/>
        <w:left w:val="none" w:sz="0" w:space="0" w:color="auto"/>
        <w:bottom w:val="none" w:sz="0" w:space="0" w:color="auto"/>
        <w:right w:val="none" w:sz="0" w:space="0" w:color="auto"/>
      </w:divBdr>
    </w:div>
    <w:div w:id="1716807455">
      <w:bodyDiv w:val="1"/>
      <w:marLeft w:val="0"/>
      <w:marRight w:val="0"/>
      <w:marTop w:val="0"/>
      <w:marBottom w:val="0"/>
      <w:divBdr>
        <w:top w:val="none" w:sz="0" w:space="0" w:color="auto"/>
        <w:left w:val="none" w:sz="0" w:space="0" w:color="auto"/>
        <w:bottom w:val="none" w:sz="0" w:space="0" w:color="auto"/>
        <w:right w:val="none" w:sz="0" w:space="0" w:color="auto"/>
      </w:divBdr>
    </w:div>
    <w:div w:id="1818254605">
      <w:bodyDiv w:val="1"/>
      <w:marLeft w:val="0"/>
      <w:marRight w:val="0"/>
      <w:marTop w:val="0"/>
      <w:marBottom w:val="0"/>
      <w:divBdr>
        <w:top w:val="none" w:sz="0" w:space="0" w:color="auto"/>
        <w:left w:val="none" w:sz="0" w:space="0" w:color="auto"/>
        <w:bottom w:val="none" w:sz="0" w:space="0" w:color="auto"/>
        <w:right w:val="none" w:sz="0" w:space="0" w:color="auto"/>
      </w:divBdr>
    </w:div>
    <w:div w:id="1865903167">
      <w:bodyDiv w:val="1"/>
      <w:marLeft w:val="0"/>
      <w:marRight w:val="0"/>
      <w:marTop w:val="0"/>
      <w:marBottom w:val="0"/>
      <w:divBdr>
        <w:top w:val="none" w:sz="0" w:space="0" w:color="auto"/>
        <w:left w:val="none" w:sz="0" w:space="0" w:color="auto"/>
        <w:bottom w:val="none" w:sz="0" w:space="0" w:color="auto"/>
        <w:right w:val="none" w:sz="0" w:space="0" w:color="auto"/>
      </w:divBdr>
    </w:div>
    <w:div w:id="196970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reasury.un.org/operationalrates/OperationalRate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1.png"/><Relationship Id="rId1" Type="http://schemas.openxmlformats.org/officeDocument/2006/relationships/hyperlink" Target="http://africacd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ace5c645-3ec7-4c8e-b12e-077221505df5}"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373</Words>
  <Characters>1893</Characters>
  <Application>Microsoft Office Word</Application>
  <DocSecurity>0</DocSecurity>
  <Lines>145</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Zemenu Asnake Mekuria</dc:creator>
  <cp:keywords/>
  <dc:description/>
  <cp:lastModifiedBy>Selam Gebeyehu Nitsuh</cp:lastModifiedBy>
  <cp:revision>7</cp:revision>
  <cp:lastPrinted>2024-09-05T08:46:00Z</cp:lastPrinted>
  <dcterms:created xsi:type="dcterms:W3CDTF">2026-05-03T16:56:00Z</dcterms:created>
  <dcterms:modified xsi:type="dcterms:W3CDTF">2026-05-13T12:14:00Z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2024-08-10T10:00:12Z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ace5c645-3ec7-4c8e-b12e-077221505df5</vt:lpwstr>
  </property>
  <property fmtid="{D5CDD505-2E9C-101B-9397-08002B2CF9AE}" pid="7" name="MSIP_Label_defa4170-0d19-0005-0004-bc88714345d2_ActionId">
    <vt:lpwstr>4c3e0b22-5185-4056-8be2-9c5261b5b290</vt:lpwstr>
  </property>
  <property fmtid="{D5CDD505-2E9C-101B-9397-08002B2CF9AE}" pid="8" name="MSIP_Label_defa4170-0d19-0005-0004-bc88714345d2_ContentBits">
    <vt:lpwstr>0</vt:lpwstr>
  </property>
</Properties>
</file>