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567"/>
        <w:tblW w:w="12945" w:type="dxa"/>
        <w:tblBorders>
          <w:top w:val="nil"/>
          <w:left w:val="nil"/>
          <w:bottom w:val="nil"/>
          <w:right w:val="nil"/>
          <w:insideH w:val="nil"/>
          <w:insideV w:val="nil"/>
        </w:tblBorders>
        <w:tblLayout w:type="fixed"/>
        <w:tblLook w:val="0600" w:firstRow="0" w:lastRow="0" w:firstColumn="0" w:lastColumn="0" w:noHBand="1" w:noVBand="1"/>
      </w:tblPr>
      <w:tblGrid>
        <w:gridCol w:w="12945"/>
      </w:tblGrid>
      <w:tr w:rsidR="00F86353" w:rsidTr="00F86353">
        <w:trPr>
          <w:trHeight w:val="1155"/>
        </w:trPr>
        <w:tc>
          <w:tcPr>
            <w:tcW w:w="12945" w:type="dxa"/>
            <w:tcBorders>
              <w:top w:val="nil"/>
              <w:left w:val="nil"/>
              <w:bottom w:val="nil"/>
              <w:right w:val="nil"/>
            </w:tcBorders>
            <w:shd w:val="clear" w:color="auto" w:fill="920000"/>
            <w:tcMar>
              <w:top w:w="100" w:type="dxa"/>
              <w:left w:w="100" w:type="dxa"/>
              <w:bottom w:w="100" w:type="dxa"/>
              <w:right w:w="100" w:type="dxa"/>
            </w:tcMar>
            <w:vAlign w:val="bottom"/>
          </w:tcPr>
          <w:p w:rsidR="00F86353" w:rsidRDefault="00F86353" w:rsidP="00F86353">
            <w:pPr>
              <w:spacing w:before="240" w:after="240"/>
              <w:ind w:right="-840"/>
              <w:jc w:val="center"/>
              <w:rPr>
                <w:b/>
                <w:color w:val="FFFFFF"/>
                <w:sz w:val="32"/>
                <w:szCs w:val="32"/>
              </w:rPr>
            </w:pPr>
            <w:r>
              <w:rPr>
                <w:b/>
                <w:color w:val="FFFFFF"/>
                <w:sz w:val="32"/>
                <w:szCs w:val="32"/>
              </w:rPr>
              <w:t>Outbreak Brief #48: Coronavirus Disease 2019 (COVID-19) Pandemic</w:t>
            </w:r>
          </w:p>
          <w:p w:rsidR="00F86353" w:rsidRDefault="00F86353" w:rsidP="00F86353">
            <w:pPr>
              <w:jc w:val="center"/>
              <w:rPr>
                <w:b/>
                <w:color w:val="FFFFFF"/>
                <w:sz w:val="28"/>
                <w:szCs w:val="28"/>
              </w:rPr>
            </w:pPr>
            <w:bookmarkStart w:id="0" w:name="_gjdgxs" w:colFirst="0" w:colLast="0"/>
            <w:bookmarkEnd w:id="0"/>
            <w:r>
              <w:rPr>
                <w:b/>
                <w:color w:val="FFFFFF"/>
                <w:sz w:val="28"/>
                <w:szCs w:val="28"/>
              </w:rPr>
              <w:t>Date of Issue: 15 December 2020</w:t>
            </w:r>
          </w:p>
        </w:tc>
      </w:tr>
      <w:tr w:rsidR="00F86353" w:rsidTr="00F86353">
        <w:trPr>
          <w:trHeight w:val="525"/>
        </w:trPr>
        <w:tc>
          <w:tcPr>
            <w:tcW w:w="12945" w:type="dxa"/>
            <w:tcBorders>
              <w:top w:val="nil"/>
              <w:left w:val="nil"/>
              <w:bottom w:val="nil"/>
              <w:right w:val="nil"/>
            </w:tcBorders>
            <w:shd w:val="clear" w:color="auto" w:fill="CCCCCC"/>
            <w:tcMar>
              <w:top w:w="100" w:type="dxa"/>
              <w:left w:w="100" w:type="dxa"/>
              <w:bottom w:w="100" w:type="dxa"/>
              <w:right w:w="100" w:type="dxa"/>
            </w:tcMar>
          </w:tcPr>
          <w:p w:rsidR="00F86353" w:rsidRDefault="00F86353" w:rsidP="00F86353">
            <w:pPr>
              <w:jc w:val="center"/>
              <w:rPr>
                <w:b/>
                <w:sz w:val="28"/>
                <w:szCs w:val="28"/>
              </w:rPr>
            </w:pPr>
            <w:r>
              <w:rPr>
                <w:b/>
                <w:sz w:val="28"/>
                <w:szCs w:val="28"/>
              </w:rPr>
              <w:t>71,062,725 cases and 1,608,963 deaths</w:t>
            </w:r>
          </w:p>
        </w:tc>
      </w:tr>
      <w:tr w:rsidR="00F86353" w:rsidTr="00F86353">
        <w:trPr>
          <w:trHeight w:val="480"/>
        </w:trPr>
        <w:tc>
          <w:tcPr>
            <w:tcW w:w="12945" w:type="dxa"/>
            <w:tcBorders>
              <w:top w:val="nil"/>
              <w:left w:val="nil"/>
              <w:bottom w:val="nil"/>
              <w:right w:val="nil"/>
            </w:tcBorders>
            <w:tcMar>
              <w:top w:w="100" w:type="dxa"/>
              <w:left w:w="100" w:type="dxa"/>
              <w:bottom w:w="100" w:type="dxa"/>
              <w:right w:w="100" w:type="dxa"/>
            </w:tcMar>
          </w:tcPr>
          <w:p w:rsidR="00F86353" w:rsidRDefault="00F86353" w:rsidP="00F86353">
            <w:pPr>
              <w:spacing w:after="200"/>
              <w:jc w:val="center"/>
              <w:rPr>
                <w:i/>
                <w:sz w:val="24"/>
                <w:szCs w:val="24"/>
              </w:rPr>
            </w:pPr>
            <w:r>
              <w:rPr>
                <w:i/>
                <w:sz w:val="24"/>
                <w:szCs w:val="24"/>
              </w:rPr>
              <w:t>Data sources: World Health Organization and African Union Member States</w:t>
            </w:r>
          </w:p>
        </w:tc>
      </w:tr>
    </w:tbl>
    <w:p w:rsidR="005C7160" w:rsidRDefault="007A5606">
      <w:pPr>
        <w:spacing w:after="240"/>
        <w:rPr>
          <w:sz w:val="24"/>
          <w:szCs w:val="24"/>
          <w:highlight w:val="white"/>
        </w:rPr>
      </w:pPr>
      <w:r>
        <w:rPr>
          <w:b/>
          <w:sz w:val="24"/>
          <w:szCs w:val="24"/>
        </w:rPr>
        <w:t xml:space="preserve">Outbreak Update: </w:t>
      </w:r>
      <w:r>
        <w:rPr>
          <w:sz w:val="24"/>
          <w:szCs w:val="24"/>
          <w:highlight w:val="white"/>
        </w:rPr>
        <w:t>Since the last brief (8 Dec</w:t>
      </w:r>
      <w:r>
        <w:rPr>
          <w:sz w:val="24"/>
          <w:szCs w:val="24"/>
          <w:highlight w:val="white"/>
        </w:rPr>
        <w:t>ember 2020), 4,611,213 new confirmed</w:t>
      </w:r>
      <w:r>
        <w:rPr>
          <w:sz w:val="24"/>
          <w:szCs w:val="24"/>
          <w:highlight w:val="white"/>
          <w:vertAlign w:val="superscript"/>
        </w:rPr>
        <w:footnoteReference w:id="1"/>
      </w:r>
      <w:r>
        <w:rPr>
          <w:sz w:val="24"/>
          <w:szCs w:val="24"/>
          <w:highlight w:val="white"/>
        </w:rPr>
        <w:t xml:space="preserve"> coronavirus disease 2019 (COVID-19) cases and 75,990 new deaths have been reported globally. To date, a total of 71,062,725 COVID-19 cases and 1,608,963 related deaths </w:t>
      </w:r>
      <w:r>
        <w:rPr>
          <w:sz w:val="24"/>
          <w:szCs w:val="24"/>
        </w:rPr>
        <w:t xml:space="preserve">(case fatality rate </w:t>
      </w:r>
      <w:r>
        <w:rPr>
          <w:sz w:val="24"/>
          <w:szCs w:val="24"/>
          <w:highlight w:val="white"/>
        </w:rPr>
        <w:t>(CFR): 2.3%) have been reporte</w:t>
      </w:r>
      <w:r>
        <w:rPr>
          <w:sz w:val="24"/>
          <w:szCs w:val="24"/>
          <w:highlight w:val="white"/>
        </w:rPr>
        <w:t>d from 221 countries and territories. This week, no new country or territory reported its first case. The distribution of cumulative cases (proportion of global cases) from the World Health Organization (WHO) reporting regions (excluding Africa) are as fol</w:t>
      </w:r>
      <w:r>
        <w:rPr>
          <w:sz w:val="24"/>
          <w:szCs w:val="24"/>
          <w:highlight w:val="white"/>
        </w:rPr>
        <w:t>lows: Eastern Mediterranean Region 3,760,027 (5%), European Region 22,116,845 (31%), Region of the Americas 30,416,759 (43%), South-East Asia Region 11,398,927 (16%) and Western Pacific Region 966,296 (1%). Among the affected locations, the United States h</w:t>
      </w:r>
      <w:r>
        <w:rPr>
          <w:sz w:val="24"/>
          <w:szCs w:val="24"/>
          <w:highlight w:val="white"/>
        </w:rPr>
        <w:t xml:space="preserve">as reported more than one million new cases each week for the last five consecutive weeks. For the last seven days, </w:t>
      </w:r>
      <w:r>
        <w:rPr>
          <w:sz w:val="24"/>
          <w:szCs w:val="24"/>
        </w:rPr>
        <w:t>Brazil, India an</w:t>
      </w:r>
      <w:r>
        <w:rPr>
          <w:sz w:val="24"/>
          <w:szCs w:val="24"/>
          <w:highlight w:val="white"/>
        </w:rPr>
        <w:t>d Turkey have reported over 200,000 new cases each. For more detailed information on cases and deaths being reported outside</w:t>
      </w:r>
      <w:r>
        <w:rPr>
          <w:sz w:val="24"/>
          <w:szCs w:val="24"/>
          <w:highlight w:val="white"/>
        </w:rPr>
        <w:t xml:space="preserve"> of Africa, refer to the WHO daily situation reports.</w:t>
      </w:r>
      <w:r>
        <w:rPr>
          <w:sz w:val="24"/>
          <w:szCs w:val="24"/>
          <w:highlight w:val="white"/>
          <w:vertAlign w:val="superscript"/>
        </w:rPr>
        <w:footnoteReference w:id="2"/>
      </w:r>
    </w:p>
    <w:p w:rsidR="005C7160" w:rsidRDefault="007A5606">
      <w:pPr>
        <w:spacing w:before="240" w:after="240"/>
        <w:rPr>
          <w:sz w:val="24"/>
          <w:szCs w:val="24"/>
          <w:highlight w:val="white"/>
        </w:rPr>
      </w:pPr>
      <w:bookmarkStart w:id="1" w:name="_30j0zll" w:colFirst="0" w:colLast="0"/>
      <w:bookmarkEnd w:id="1"/>
      <w:r>
        <w:rPr>
          <w:b/>
          <w:sz w:val="24"/>
          <w:szCs w:val="24"/>
        </w:rPr>
        <w:t>As of 9 am East African Time (EAT) 15 December 2020,</w:t>
      </w:r>
      <w:r>
        <w:rPr>
          <w:sz w:val="24"/>
          <w:szCs w:val="24"/>
        </w:rPr>
        <w:t xml:space="preserve"> a total of 2,389,975 COVID-19 cases and 56,647 deaths (</w:t>
      </w:r>
      <w:r>
        <w:rPr>
          <w:sz w:val="24"/>
          <w:szCs w:val="24"/>
          <w:highlight w:val="white"/>
        </w:rPr>
        <w:t>CFR: 2.4%) have</w:t>
      </w:r>
      <w:r>
        <w:rPr>
          <w:sz w:val="24"/>
          <w:szCs w:val="24"/>
        </w:rPr>
        <w:t xml:space="preserve"> been reported in 55 African Union (AU) Member States.</w:t>
      </w:r>
      <w:r>
        <w:rPr>
          <w:sz w:val="24"/>
          <w:szCs w:val="24"/>
          <w:highlight w:val="white"/>
        </w:rPr>
        <w:t xml:space="preserve"> This is 3.4% of all cas</w:t>
      </w:r>
      <w:r>
        <w:rPr>
          <w:sz w:val="24"/>
          <w:szCs w:val="24"/>
          <w:highlight w:val="white"/>
        </w:rPr>
        <w:t>es reported glob</w:t>
      </w:r>
      <w:r>
        <w:rPr>
          <w:sz w:val="24"/>
          <w:szCs w:val="24"/>
        </w:rPr>
        <w:t xml:space="preserve">ally.  The majority (84%) of Member States continue to report community transmission. </w:t>
      </w:r>
      <w:r>
        <w:rPr>
          <w:sz w:val="24"/>
          <w:szCs w:val="24"/>
          <w:highlight w:val="white"/>
        </w:rPr>
        <w:t xml:space="preserve">Of the countries actively reporting COVID-19 epidemiologic data, sixteen countries are reporting case fatality rates higher than the global case fatality </w:t>
      </w:r>
      <w:r>
        <w:rPr>
          <w:sz w:val="24"/>
          <w:szCs w:val="24"/>
          <w:highlight w:val="white"/>
        </w:rPr>
        <w:t>rate of 2.3%. These include Sahrawi Arab Democratic Republic (7.1%), Sudan (6.3%), Chad (5.8%), Egypt (5.7%), Liberia (5%), Niger (3.5%), Tunisia (3.5%), Mali (3.4%), Gambia (3.3%), Malawi (3.1</w:t>
      </w:r>
      <w:r w:rsidR="00F86353">
        <w:rPr>
          <w:sz w:val="24"/>
          <w:szCs w:val="24"/>
          <w:highlight w:val="white"/>
        </w:rPr>
        <w:t>%), Sierra</w:t>
      </w:r>
      <w:r>
        <w:rPr>
          <w:sz w:val="24"/>
          <w:szCs w:val="24"/>
          <w:highlight w:val="white"/>
        </w:rPr>
        <w:t xml:space="preserve"> Leone (3.1%), Algeria (2.8%), South Africa (2.7%), </w:t>
      </w:r>
      <w:r>
        <w:rPr>
          <w:sz w:val="24"/>
          <w:szCs w:val="24"/>
          <w:highlight w:val="white"/>
        </w:rPr>
        <w:t xml:space="preserve">Zimbabwe (2.7%), Somalia (2.6%) and Democratic Republic of Congo (2.5%). </w:t>
      </w:r>
    </w:p>
    <w:p w:rsidR="005C7160" w:rsidRDefault="007A5606">
      <w:pPr>
        <w:spacing w:before="240" w:after="240"/>
        <w:rPr>
          <w:sz w:val="24"/>
          <w:szCs w:val="24"/>
          <w:highlight w:val="white"/>
        </w:rPr>
      </w:pPr>
      <w:bookmarkStart w:id="2" w:name="_abks0mpwwzgu" w:colFirst="0" w:colLast="0"/>
      <w:bookmarkEnd w:id="2"/>
      <w:r>
        <w:rPr>
          <w:b/>
          <w:sz w:val="24"/>
          <w:szCs w:val="24"/>
        </w:rPr>
        <w:t>For Epi week 50</w:t>
      </w:r>
      <w:r>
        <w:rPr>
          <w:sz w:val="24"/>
          <w:szCs w:val="24"/>
        </w:rPr>
        <w:t xml:space="preserve"> (7 December - 13 December), 115,849 new COVID-19 cases have been reported, which is a 16% increase in the number of new cases reported compared to Epi week 49. The ma</w:t>
      </w:r>
      <w:r>
        <w:rPr>
          <w:sz w:val="24"/>
          <w:szCs w:val="24"/>
        </w:rPr>
        <w:t>jority of new COVID-19 cases being reported for this week are from the Southern region (46%) followed by the Northern (34%), Eastern (12%), Western (7%) and Central (2%) regions. Countries reporting the highest incidence (COVID-19 new cases per 100,000 pop</w:t>
      </w:r>
      <w:r>
        <w:rPr>
          <w:sz w:val="24"/>
          <w:szCs w:val="24"/>
        </w:rPr>
        <w:t xml:space="preserve">ulation) this week include Botswana (95), South Africa (80), Tunisia (60), Namibia (56), Libya (56), Morocco (55) and Cape Verde (49). </w:t>
      </w:r>
    </w:p>
    <w:p w:rsidR="005C7160" w:rsidRDefault="007A5606">
      <w:pPr>
        <w:spacing w:before="240" w:after="240"/>
        <w:rPr>
          <w:sz w:val="24"/>
          <w:szCs w:val="24"/>
          <w:highlight w:val="white"/>
        </w:rPr>
      </w:pPr>
      <w:bookmarkStart w:id="3" w:name="_1fob9te" w:colFirst="0" w:colLast="0"/>
      <w:bookmarkEnd w:id="3"/>
      <w:r>
        <w:rPr>
          <w:sz w:val="24"/>
          <w:szCs w:val="24"/>
          <w:highlight w:val="white"/>
        </w:rPr>
        <w:lastRenderedPageBreak/>
        <w:t>Table 1 highlights the reported cases and deaths from COVID-19 in all countries in Africa for Epi week 50. The table rep</w:t>
      </w:r>
      <w:r>
        <w:rPr>
          <w:sz w:val="24"/>
          <w:szCs w:val="24"/>
          <w:highlight w:val="white"/>
        </w:rPr>
        <w:t xml:space="preserve">orts the current phase of the epidemic for each country. Figure 1 shows the trend of new COVID-19 cases reported by day and region from 15 February to date. A second wave of the pandemic is now affecting Africa as cases have continued to increase over the </w:t>
      </w:r>
      <w:r>
        <w:rPr>
          <w:sz w:val="24"/>
          <w:szCs w:val="24"/>
          <w:highlight w:val="white"/>
        </w:rPr>
        <w:t>last two months, the majority of these cases are reported from the Southern region. This week, four countries account for about 67% of the new COVID-19 cases reported:  South Africa (40%), Morocco (17%), Tunisia (6%), Uganda (4%).</w:t>
      </w:r>
    </w:p>
    <w:p w:rsidR="005C7160" w:rsidRDefault="007A5606">
      <w:pPr>
        <w:spacing w:before="240" w:after="240"/>
        <w:rPr>
          <w:b/>
          <w:sz w:val="24"/>
          <w:szCs w:val="24"/>
          <w:highlight w:val="white"/>
        </w:rPr>
      </w:pPr>
      <w:bookmarkStart w:id="4" w:name="_ruei799vv3jk" w:colFirst="0" w:colLast="0"/>
      <w:bookmarkEnd w:id="4"/>
      <w:r>
        <w:rPr>
          <w:b/>
          <w:sz w:val="24"/>
          <w:szCs w:val="24"/>
          <w:highlight w:val="white"/>
        </w:rPr>
        <w:t>Table 1. Confirmed COVID-</w:t>
      </w:r>
      <w:r>
        <w:rPr>
          <w:b/>
          <w:sz w:val="24"/>
          <w:szCs w:val="24"/>
          <w:highlight w:val="white"/>
        </w:rPr>
        <w:t>19 cases, deaths and recoveries</w:t>
      </w:r>
      <w:r>
        <w:rPr>
          <w:b/>
          <w:sz w:val="24"/>
          <w:szCs w:val="24"/>
          <w:highlight w:val="white"/>
          <w:vertAlign w:val="superscript"/>
        </w:rPr>
        <w:footnoteReference w:id="3"/>
      </w:r>
      <w:r>
        <w:rPr>
          <w:b/>
          <w:sz w:val="24"/>
          <w:szCs w:val="24"/>
          <w:highlight w:val="white"/>
        </w:rPr>
        <w:t xml:space="preserve"> reported in Africa for Epi week 50 (</w:t>
      </w:r>
      <w:r w:rsidR="00F86353">
        <w:rPr>
          <w:b/>
          <w:sz w:val="24"/>
          <w:szCs w:val="24"/>
          <w:highlight w:val="white"/>
        </w:rPr>
        <w:t>7 December</w:t>
      </w:r>
      <w:r>
        <w:rPr>
          <w:b/>
          <w:sz w:val="24"/>
          <w:szCs w:val="24"/>
          <w:highlight w:val="white"/>
        </w:rPr>
        <w:t xml:space="preserve"> - 13 December 2020)</w:t>
      </w:r>
    </w:p>
    <w:tbl>
      <w:tblPr>
        <w:tblStyle w:val="TableGrid"/>
        <w:tblW w:w="10260" w:type="dxa"/>
        <w:tblLayout w:type="fixed"/>
        <w:tblLook w:val="0600" w:firstRow="0" w:lastRow="0" w:firstColumn="0" w:lastColumn="0" w:noHBand="1" w:noVBand="1"/>
      </w:tblPr>
      <w:tblGrid>
        <w:gridCol w:w="2130"/>
        <w:gridCol w:w="1695"/>
        <w:gridCol w:w="1725"/>
        <w:gridCol w:w="1380"/>
        <w:gridCol w:w="2025"/>
        <w:gridCol w:w="1305"/>
      </w:tblGrid>
      <w:tr w:rsidR="005C7160" w:rsidTr="00F86353">
        <w:trPr>
          <w:trHeight w:val="1440"/>
        </w:trPr>
        <w:tc>
          <w:tcPr>
            <w:tcW w:w="2130" w:type="dxa"/>
            <w:shd w:val="clear" w:color="auto" w:fill="990000"/>
          </w:tcPr>
          <w:p w:rsidR="005C7160" w:rsidRDefault="007A5606" w:rsidP="00F86353">
            <w:pPr>
              <w:widowControl w:val="0"/>
              <w:spacing w:line="276" w:lineRule="auto"/>
              <w:jc w:val="center"/>
              <w:rPr>
                <w:rFonts w:ascii="Arial" w:eastAsia="Arial" w:hAnsi="Arial" w:cs="Arial"/>
              </w:rPr>
            </w:pPr>
            <w:r>
              <w:rPr>
                <w:b/>
                <w:color w:val="FFFFFF"/>
                <w:sz w:val="24"/>
                <w:szCs w:val="24"/>
              </w:rPr>
              <w:t>Country</w:t>
            </w:r>
          </w:p>
        </w:tc>
        <w:tc>
          <w:tcPr>
            <w:tcW w:w="1695" w:type="dxa"/>
            <w:shd w:val="clear" w:color="auto" w:fill="990000"/>
          </w:tcPr>
          <w:p w:rsidR="005C7160" w:rsidRDefault="007A5606" w:rsidP="00F86353">
            <w:pPr>
              <w:widowControl w:val="0"/>
              <w:spacing w:line="276" w:lineRule="auto"/>
              <w:jc w:val="center"/>
              <w:rPr>
                <w:b/>
                <w:color w:val="FFFFFF"/>
                <w:sz w:val="24"/>
                <w:szCs w:val="24"/>
              </w:rPr>
            </w:pPr>
            <w:r>
              <w:rPr>
                <w:b/>
                <w:color w:val="FFFFFF"/>
                <w:sz w:val="24"/>
                <w:szCs w:val="24"/>
              </w:rPr>
              <w:t>Number of cases</w:t>
            </w:r>
          </w:p>
          <w:p w:rsidR="005C7160" w:rsidRDefault="007A5606" w:rsidP="00F86353">
            <w:pPr>
              <w:widowControl w:val="0"/>
              <w:spacing w:line="276" w:lineRule="auto"/>
              <w:jc w:val="center"/>
              <w:rPr>
                <w:rFonts w:ascii="Arial" w:eastAsia="Arial" w:hAnsi="Arial" w:cs="Arial"/>
              </w:rPr>
            </w:pPr>
            <w:r>
              <w:rPr>
                <w:b/>
                <w:color w:val="FFFFFF"/>
                <w:sz w:val="24"/>
                <w:szCs w:val="24"/>
              </w:rPr>
              <w:t>(new)</w:t>
            </w:r>
          </w:p>
        </w:tc>
        <w:tc>
          <w:tcPr>
            <w:tcW w:w="1725" w:type="dxa"/>
            <w:shd w:val="clear" w:color="auto" w:fill="990000"/>
          </w:tcPr>
          <w:p w:rsidR="005C7160" w:rsidRDefault="007A5606" w:rsidP="00F86353">
            <w:pPr>
              <w:widowControl w:val="0"/>
              <w:spacing w:line="276" w:lineRule="auto"/>
              <w:jc w:val="center"/>
              <w:rPr>
                <w:rFonts w:ascii="Arial" w:eastAsia="Arial" w:hAnsi="Arial" w:cs="Arial"/>
              </w:rPr>
            </w:pPr>
            <w:r>
              <w:rPr>
                <w:b/>
                <w:color w:val="FFFFFF"/>
                <w:sz w:val="24"/>
                <w:szCs w:val="24"/>
              </w:rPr>
              <w:t>Percent change in new cases since the previous Epi week (49)</w:t>
            </w:r>
          </w:p>
        </w:tc>
        <w:tc>
          <w:tcPr>
            <w:tcW w:w="1380" w:type="dxa"/>
            <w:shd w:val="clear" w:color="auto" w:fill="990000"/>
          </w:tcPr>
          <w:p w:rsidR="005C7160" w:rsidRDefault="007A5606" w:rsidP="00F86353">
            <w:pPr>
              <w:widowControl w:val="0"/>
              <w:spacing w:line="276" w:lineRule="auto"/>
              <w:jc w:val="center"/>
              <w:rPr>
                <w:rFonts w:ascii="Arial" w:eastAsia="Arial" w:hAnsi="Arial" w:cs="Arial"/>
              </w:rPr>
            </w:pPr>
            <w:r>
              <w:rPr>
                <w:b/>
                <w:color w:val="FFFFFF"/>
                <w:sz w:val="24"/>
                <w:szCs w:val="24"/>
              </w:rPr>
              <w:t>Number of deaths (new)</w:t>
            </w:r>
          </w:p>
        </w:tc>
        <w:tc>
          <w:tcPr>
            <w:tcW w:w="2025" w:type="dxa"/>
            <w:shd w:val="clear" w:color="auto" w:fill="990000"/>
          </w:tcPr>
          <w:p w:rsidR="005C7160" w:rsidRDefault="007A5606" w:rsidP="00F86353">
            <w:pPr>
              <w:widowControl w:val="0"/>
              <w:spacing w:line="276" w:lineRule="auto"/>
              <w:jc w:val="center"/>
              <w:rPr>
                <w:rFonts w:ascii="Arial" w:eastAsia="Arial" w:hAnsi="Arial" w:cs="Arial"/>
              </w:rPr>
            </w:pPr>
            <w:r>
              <w:rPr>
                <w:b/>
                <w:color w:val="FFFFFF"/>
                <w:sz w:val="24"/>
                <w:szCs w:val="24"/>
              </w:rPr>
              <w:t>Percent change in new deaths since the previous Epi week (49)</w:t>
            </w:r>
          </w:p>
        </w:tc>
        <w:tc>
          <w:tcPr>
            <w:tcW w:w="1305" w:type="dxa"/>
            <w:shd w:val="clear" w:color="auto" w:fill="990000"/>
          </w:tcPr>
          <w:p w:rsidR="005C7160" w:rsidRDefault="007A5606" w:rsidP="00F86353">
            <w:pPr>
              <w:widowControl w:val="0"/>
              <w:spacing w:line="276" w:lineRule="auto"/>
              <w:jc w:val="center"/>
              <w:rPr>
                <w:rFonts w:ascii="Arial" w:eastAsia="Arial" w:hAnsi="Arial" w:cs="Arial"/>
              </w:rPr>
            </w:pPr>
            <w:r>
              <w:rPr>
                <w:b/>
                <w:color w:val="FFFFFF"/>
                <w:sz w:val="24"/>
                <w:szCs w:val="24"/>
              </w:rPr>
              <w:t>Epidemic phase</w:t>
            </w:r>
            <w:r>
              <w:rPr>
                <w:b/>
                <w:color w:val="FFFFFF"/>
                <w:sz w:val="24"/>
                <w:szCs w:val="24"/>
                <w:vertAlign w:val="superscript"/>
              </w:rPr>
              <w:footnoteReference w:id="4"/>
            </w:r>
          </w:p>
        </w:tc>
      </w:tr>
      <w:tr w:rsidR="005C7160" w:rsidTr="00F86353">
        <w:trPr>
          <w:trHeight w:val="360"/>
        </w:trPr>
        <w:tc>
          <w:tcPr>
            <w:tcW w:w="213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Central Region</w:t>
            </w:r>
          </w:p>
        </w:tc>
        <w:tc>
          <w:tcPr>
            <w:tcW w:w="169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68,665 (1,781)</w:t>
            </w:r>
          </w:p>
        </w:tc>
        <w:tc>
          <w:tcPr>
            <w:tcW w:w="17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11%</w:t>
            </w:r>
          </w:p>
        </w:tc>
        <w:tc>
          <w:tcPr>
            <w:tcW w:w="138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1,229 (20)</w:t>
            </w:r>
          </w:p>
        </w:tc>
        <w:tc>
          <w:tcPr>
            <w:tcW w:w="20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5%</w:t>
            </w:r>
          </w:p>
        </w:tc>
        <w:tc>
          <w:tcPr>
            <w:tcW w:w="1305" w:type="dxa"/>
            <w:shd w:val="clear" w:color="auto" w:fill="BFBFBF" w:themeFill="background1" w:themeFillShade="BF"/>
          </w:tcPr>
          <w:p w:rsidR="005C7160" w:rsidRDefault="005C7160" w:rsidP="00F86353">
            <w:pPr>
              <w:widowControl w:val="0"/>
              <w:spacing w:line="276" w:lineRule="auto"/>
              <w:jc w:val="center"/>
              <w:rPr>
                <w:rFonts w:ascii="Arial" w:eastAsia="Arial" w:hAnsi="Arial" w:cs="Arial"/>
              </w:rPr>
            </w:pP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Burundi</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729 (35)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169%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Cameroon</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25,143 (391)</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-38%</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443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645"/>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Central African Republic</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4,936 (4)</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-71%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63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Chad</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1,771 (46)</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24%</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102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Congo</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6,049 (275)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99 (5)</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60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Democratic Republic of Congo</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14,513 (918)</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12%</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356 (12)</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9%</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645"/>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Equatorial Guinea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5,185 (26)</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767%</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85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Gabon</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9,330 (76)</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63 (3)</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200%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645"/>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lastRenderedPageBreak/>
              <w:t>Sao Tome and Principe</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1,009 (10)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No change</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17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Eastern Region</w:t>
            </w:r>
          </w:p>
        </w:tc>
        <w:tc>
          <w:tcPr>
            <w:tcW w:w="169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298,327 (13,799)</w:t>
            </w:r>
          </w:p>
        </w:tc>
        <w:tc>
          <w:tcPr>
            <w:tcW w:w="17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-6%</w:t>
            </w:r>
          </w:p>
        </w:tc>
        <w:tc>
          <w:tcPr>
            <w:tcW w:w="138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5,569 (190)</w:t>
            </w:r>
          </w:p>
        </w:tc>
        <w:tc>
          <w:tcPr>
            <w:tcW w:w="20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w:t>
            </w:r>
          </w:p>
        </w:tc>
        <w:tc>
          <w:tcPr>
            <w:tcW w:w="1305" w:type="dxa"/>
            <w:shd w:val="clear" w:color="auto" w:fill="BFBFBF" w:themeFill="background1" w:themeFillShade="BF"/>
          </w:tcPr>
          <w:p w:rsidR="005C7160" w:rsidRDefault="005C7160" w:rsidP="00F86353">
            <w:pPr>
              <w:widowControl w:val="0"/>
              <w:spacing w:line="276" w:lineRule="auto"/>
              <w:jc w:val="center"/>
              <w:rPr>
                <w:rFonts w:ascii="Arial" w:eastAsia="Arial" w:hAnsi="Arial" w:cs="Arial"/>
              </w:rPr>
            </w:pP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Comoros</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628 (12)</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140%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7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Djibouti</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5,728 (27)</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61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2</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Eritrea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711 (79)</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44%</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1</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Ethiopia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116,769 (3,474)</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-8%</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1,806 (59)</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26%</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Kenya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91,892 (3,512)</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-31%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1,587 (61)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-18%</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Madagascar</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17,587 (0)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259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Mauritius</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515 (10)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150%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10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2</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Rwanda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6,659 (530)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152%</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56 (5)</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67%</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2</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Seychelles</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187 (3)</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-73%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1</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Somalia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4,579 (54)</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-27%</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121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1</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South Sudan</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3,206 (25)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-65%</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62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Sudan</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21,591 (1,507)</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-26%</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1,355 (48)</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-8%</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Tanzania</w:t>
            </w:r>
            <w:r>
              <w:rPr>
                <w:sz w:val="24"/>
                <w:szCs w:val="24"/>
                <w:vertAlign w:val="superscript"/>
              </w:rPr>
              <w:footnoteReference w:id="5"/>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509 (0)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21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Uganda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27,766 (4,566)</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49%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224 (17)</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183%</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Northern Region</w:t>
            </w:r>
          </w:p>
        </w:tc>
        <w:tc>
          <w:tcPr>
            <w:tcW w:w="169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827,003 (39,692)</w:t>
            </w:r>
          </w:p>
        </w:tc>
        <w:tc>
          <w:tcPr>
            <w:tcW w:w="17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-17%</w:t>
            </w:r>
          </w:p>
        </w:tc>
        <w:tc>
          <w:tcPr>
            <w:tcW w:w="138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21,518 (951)</w:t>
            </w:r>
          </w:p>
        </w:tc>
        <w:tc>
          <w:tcPr>
            <w:tcW w:w="20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-19%</w:t>
            </w:r>
          </w:p>
        </w:tc>
        <w:tc>
          <w:tcPr>
            <w:tcW w:w="1305" w:type="dxa"/>
            <w:shd w:val="clear" w:color="auto" w:fill="BFBFBF" w:themeFill="background1" w:themeFillShade="BF"/>
          </w:tcPr>
          <w:p w:rsidR="005C7160" w:rsidRDefault="005C7160" w:rsidP="00F86353">
            <w:pPr>
              <w:widowControl w:val="0"/>
              <w:spacing w:line="276" w:lineRule="auto"/>
              <w:jc w:val="center"/>
              <w:rPr>
                <w:rFonts w:ascii="Arial" w:eastAsia="Arial" w:hAnsi="Arial" w:cs="Arial"/>
              </w:rPr>
            </w:pP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Algeria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92,102 (3,850)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-36%</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2,596 (86)</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-26%</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Egypt</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121,575 (3,143)</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6,898 (127)</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-6%</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2</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Libya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91,357 (4,260)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1,314 (59)</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-18%</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Mauritania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10,971 (1,455)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50%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225 (37)</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185%</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Morocco</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399,609 (19,952)</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6,589 (344)</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-25%</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2</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Tunisia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111,361 (7,032)</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3,894 (298)</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-21%</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93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Sahrawi Arab Democratic Republic</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28 (0)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1</w:t>
            </w:r>
          </w:p>
        </w:tc>
      </w:tr>
      <w:tr w:rsidR="005C7160" w:rsidTr="00F86353">
        <w:trPr>
          <w:trHeight w:val="645"/>
        </w:trPr>
        <w:tc>
          <w:tcPr>
            <w:tcW w:w="213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lastRenderedPageBreak/>
              <w:t>Southern Region</w:t>
            </w:r>
          </w:p>
        </w:tc>
        <w:tc>
          <w:tcPr>
            <w:tcW w:w="169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967,774 (53,005)</w:t>
            </w:r>
          </w:p>
        </w:tc>
        <w:tc>
          <w:tcPr>
            <w:tcW w:w="17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77%</w:t>
            </w:r>
          </w:p>
        </w:tc>
        <w:tc>
          <w:tcPr>
            <w:tcW w:w="138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25,019 (1,134)</w:t>
            </w:r>
          </w:p>
        </w:tc>
        <w:tc>
          <w:tcPr>
            <w:tcW w:w="20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48%</w:t>
            </w:r>
          </w:p>
        </w:tc>
        <w:tc>
          <w:tcPr>
            <w:tcW w:w="1305" w:type="dxa"/>
            <w:shd w:val="clear" w:color="auto" w:fill="BFBFBF" w:themeFill="background1" w:themeFillShade="BF"/>
          </w:tcPr>
          <w:p w:rsidR="005C7160" w:rsidRDefault="005C7160" w:rsidP="00F86353">
            <w:pPr>
              <w:widowControl w:val="0"/>
              <w:spacing w:line="276" w:lineRule="auto"/>
              <w:jc w:val="center"/>
              <w:rPr>
                <w:rFonts w:ascii="Arial" w:eastAsia="Arial" w:hAnsi="Arial" w:cs="Arial"/>
              </w:rPr>
            </w:pP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Angola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16,188 (652)</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51%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371 (17)</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113%</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Botswana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12,501 (2,491)</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13739%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38 (4)</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33%</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proofErr w:type="spellStart"/>
            <w:r>
              <w:rPr>
                <w:sz w:val="24"/>
                <w:szCs w:val="24"/>
              </w:rPr>
              <w:t>Eswatini</w:t>
            </w:r>
            <w:proofErr w:type="spellEnd"/>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6,768 (267)</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193%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127 (5)</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400%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Lesotho</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2,277 (127)</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210%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44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Malawi</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6,066 (15)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-42%</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187 (2)</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Mozambique</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16,954 (710)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142 (9)</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200%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Namibia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16,536 (1,458)</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99%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160 (8)</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700%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South Africa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860,964 (46,399)</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73%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23,276 (1,070)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47%</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Zambia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18,274 (358)</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16%</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367 (3)</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-57%</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Zimbabwe</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11,246 (528)</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-31%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307 (16)</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7%</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Western Region</w:t>
            </w:r>
          </w:p>
        </w:tc>
        <w:tc>
          <w:tcPr>
            <w:tcW w:w="169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218,517 (7,572)</w:t>
            </w:r>
          </w:p>
        </w:tc>
        <w:tc>
          <w:tcPr>
            <w:tcW w:w="17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37%</w:t>
            </w:r>
          </w:p>
        </w:tc>
        <w:tc>
          <w:tcPr>
            <w:tcW w:w="138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2,975 (71)</w:t>
            </w:r>
          </w:p>
        </w:tc>
        <w:tc>
          <w:tcPr>
            <w:tcW w:w="20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69%</w:t>
            </w:r>
          </w:p>
        </w:tc>
        <w:tc>
          <w:tcPr>
            <w:tcW w:w="1305" w:type="dxa"/>
            <w:shd w:val="clear" w:color="auto" w:fill="BFBFBF" w:themeFill="background1" w:themeFillShade="BF"/>
          </w:tcPr>
          <w:p w:rsidR="005C7160" w:rsidRDefault="005C7160" w:rsidP="00F86353">
            <w:pPr>
              <w:widowControl w:val="0"/>
              <w:spacing w:line="276" w:lineRule="auto"/>
              <w:jc w:val="center"/>
              <w:rPr>
                <w:rFonts w:ascii="Arial" w:eastAsia="Arial" w:hAnsi="Arial" w:cs="Arial"/>
              </w:rPr>
            </w:pP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Benin</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3,090 (17)</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-83%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44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Burkina Faso</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4,030 (818)</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130%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71 (3)</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Cape Verde</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11,357 (294)</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110 (1)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-75%</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Côte d’Ivoire</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21,680 (195)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11%</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133 (1)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No change</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Gambia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3,782 (15)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-55%</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123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Ghana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53,014 (276)</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-74%</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327 (1)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-67%</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Guinea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13,431 (185)</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24%</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79 (2)</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Guinea-Bissau</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2,444 (3)</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44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Liberia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1,676 (0)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-100%</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83 (0)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Mali</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5,814 (679)</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52%</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194 (30)</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150%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Niger</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2,258 (402)</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18%</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80 (3)</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-57%</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Nigeria</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73,175 (3,920)</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113%</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1,197 (17)</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143%</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Senegal</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17,075 (598)</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49%</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349 (11)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120%</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Sierra Leone</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2,440 (14)</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-7%</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75 (1)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NA*</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360"/>
        </w:trPr>
        <w:tc>
          <w:tcPr>
            <w:tcW w:w="2130" w:type="dxa"/>
          </w:tcPr>
          <w:p w:rsidR="005C7160" w:rsidRDefault="007A5606" w:rsidP="00F86353">
            <w:pPr>
              <w:widowControl w:val="0"/>
              <w:spacing w:line="276" w:lineRule="auto"/>
              <w:jc w:val="center"/>
              <w:rPr>
                <w:rFonts w:ascii="Arial" w:eastAsia="Arial" w:hAnsi="Arial" w:cs="Arial"/>
              </w:rPr>
            </w:pPr>
            <w:r>
              <w:rPr>
                <w:sz w:val="24"/>
                <w:szCs w:val="24"/>
              </w:rPr>
              <w:t>Togo</w:t>
            </w:r>
          </w:p>
        </w:tc>
        <w:tc>
          <w:tcPr>
            <w:tcW w:w="1695" w:type="dxa"/>
          </w:tcPr>
          <w:p w:rsidR="005C7160" w:rsidRDefault="007A5606" w:rsidP="00F86353">
            <w:pPr>
              <w:widowControl w:val="0"/>
              <w:spacing w:line="276" w:lineRule="auto"/>
              <w:jc w:val="center"/>
              <w:rPr>
                <w:rFonts w:ascii="Arial" w:eastAsia="Arial" w:hAnsi="Arial" w:cs="Arial"/>
              </w:rPr>
            </w:pPr>
            <w:r>
              <w:rPr>
                <w:sz w:val="24"/>
                <w:szCs w:val="24"/>
              </w:rPr>
              <w:t>3,251 (156)</w:t>
            </w:r>
          </w:p>
        </w:tc>
        <w:tc>
          <w:tcPr>
            <w:tcW w:w="1725" w:type="dxa"/>
          </w:tcPr>
          <w:p w:rsidR="005C7160" w:rsidRDefault="007A5606" w:rsidP="00F86353">
            <w:pPr>
              <w:widowControl w:val="0"/>
              <w:spacing w:line="276" w:lineRule="auto"/>
              <w:jc w:val="center"/>
              <w:rPr>
                <w:rFonts w:ascii="Arial" w:eastAsia="Arial" w:hAnsi="Arial" w:cs="Arial"/>
              </w:rPr>
            </w:pPr>
            <w:r>
              <w:rPr>
                <w:sz w:val="24"/>
                <w:szCs w:val="24"/>
              </w:rPr>
              <w:t>17%</w:t>
            </w:r>
          </w:p>
        </w:tc>
        <w:tc>
          <w:tcPr>
            <w:tcW w:w="1380" w:type="dxa"/>
          </w:tcPr>
          <w:p w:rsidR="005C7160" w:rsidRDefault="007A5606" w:rsidP="00F86353">
            <w:pPr>
              <w:widowControl w:val="0"/>
              <w:spacing w:line="276" w:lineRule="auto"/>
              <w:jc w:val="center"/>
              <w:rPr>
                <w:rFonts w:ascii="Arial" w:eastAsia="Arial" w:hAnsi="Arial" w:cs="Arial"/>
              </w:rPr>
            </w:pPr>
            <w:r>
              <w:rPr>
                <w:sz w:val="24"/>
                <w:szCs w:val="24"/>
              </w:rPr>
              <w:t>66 (1)</w:t>
            </w:r>
          </w:p>
        </w:tc>
        <w:tc>
          <w:tcPr>
            <w:tcW w:w="2025" w:type="dxa"/>
          </w:tcPr>
          <w:p w:rsidR="005C7160" w:rsidRDefault="007A5606" w:rsidP="00F86353">
            <w:pPr>
              <w:widowControl w:val="0"/>
              <w:spacing w:line="276" w:lineRule="auto"/>
              <w:jc w:val="center"/>
              <w:rPr>
                <w:rFonts w:ascii="Arial" w:eastAsia="Arial" w:hAnsi="Arial" w:cs="Arial"/>
              </w:rPr>
            </w:pPr>
            <w:r>
              <w:rPr>
                <w:sz w:val="24"/>
                <w:szCs w:val="24"/>
              </w:rPr>
              <w:t>No change</w:t>
            </w:r>
          </w:p>
        </w:tc>
        <w:tc>
          <w:tcPr>
            <w:tcW w:w="1305" w:type="dxa"/>
          </w:tcPr>
          <w:p w:rsidR="005C7160" w:rsidRDefault="007A5606" w:rsidP="00F86353">
            <w:pPr>
              <w:widowControl w:val="0"/>
              <w:spacing w:line="276" w:lineRule="auto"/>
              <w:jc w:val="center"/>
              <w:rPr>
                <w:rFonts w:ascii="Arial" w:eastAsia="Arial" w:hAnsi="Arial" w:cs="Arial"/>
              </w:rPr>
            </w:pPr>
            <w:r>
              <w:rPr>
                <w:sz w:val="24"/>
                <w:szCs w:val="24"/>
              </w:rPr>
              <w:t>3</w:t>
            </w:r>
          </w:p>
        </w:tc>
      </w:tr>
      <w:tr w:rsidR="005C7160" w:rsidTr="00F86353">
        <w:trPr>
          <w:trHeight w:val="645"/>
        </w:trPr>
        <w:tc>
          <w:tcPr>
            <w:tcW w:w="213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Total</w:t>
            </w:r>
          </w:p>
        </w:tc>
        <w:tc>
          <w:tcPr>
            <w:tcW w:w="169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2,380,286 (115,849)</w:t>
            </w:r>
          </w:p>
        </w:tc>
        <w:tc>
          <w:tcPr>
            <w:tcW w:w="17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16%</w:t>
            </w:r>
          </w:p>
        </w:tc>
        <w:tc>
          <w:tcPr>
            <w:tcW w:w="1380"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56,310 (2,366)</w:t>
            </w:r>
          </w:p>
        </w:tc>
        <w:tc>
          <w:tcPr>
            <w:tcW w:w="2025" w:type="dxa"/>
            <w:shd w:val="clear" w:color="auto" w:fill="BFBFBF" w:themeFill="background1" w:themeFillShade="BF"/>
          </w:tcPr>
          <w:p w:rsidR="005C7160" w:rsidRDefault="007A5606" w:rsidP="00F86353">
            <w:pPr>
              <w:widowControl w:val="0"/>
              <w:spacing w:line="276" w:lineRule="auto"/>
              <w:jc w:val="center"/>
              <w:rPr>
                <w:rFonts w:ascii="Arial" w:eastAsia="Arial" w:hAnsi="Arial" w:cs="Arial"/>
              </w:rPr>
            </w:pPr>
            <w:r>
              <w:rPr>
                <w:b/>
                <w:sz w:val="24"/>
                <w:szCs w:val="24"/>
              </w:rPr>
              <w:t>8%</w:t>
            </w:r>
          </w:p>
        </w:tc>
        <w:tc>
          <w:tcPr>
            <w:tcW w:w="1305" w:type="dxa"/>
            <w:shd w:val="clear" w:color="auto" w:fill="BFBFBF" w:themeFill="background1" w:themeFillShade="BF"/>
          </w:tcPr>
          <w:p w:rsidR="005C7160" w:rsidRDefault="005C7160" w:rsidP="00F86353">
            <w:pPr>
              <w:widowControl w:val="0"/>
              <w:spacing w:line="276" w:lineRule="auto"/>
              <w:jc w:val="center"/>
              <w:rPr>
                <w:rFonts w:ascii="Arial" w:eastAsia="Arial" w:hAnsi="Arial" w:cs="Arial"/>
              </w:rPr>
            </w:pPr>
          </w:p>
        </w:tc>
      </w:tr>
    </w:tbl>
    <w:p w:rsidR="005C7160" w:rsidRDefault="007A5606">
      <w:pPr>
        <w:ind w:right="-360" w:hanging="180"/>
        <w:rPr>
          <w:sz w:val="16"/>
          <w:szCs w:val="16"/>
        </w:rPr>
      </w:pPr>
      <w:bookmarkStart w:id="5" w:name="_ft1uguuw8rdq" w:colFirst="0" w:colLast="0"/>
      <w:bookmarkEnd w:id="5"/>
      <w:r>
        <w:t>*No new cases/deaths reported in the previous week.</w:t>
      </w:r>
    </w:p>
    <w:p w:rsidR="005C7160" w:rsidRDefault="005C7160">
      <w:pPr>
        <w:ind w:right="-360" w:hanging="180"/>
        <w:rPr>
          <w:sz w:val="16"/>
          <w:szCs w:val="16"/>
        </w:rPr>
      </w:pPr>
      <w:bookmarkStart w:id="6" w:name="_kfs0vbuaiaia" w:colFirst="0" w:colLast="0"/>
      <w:bookmarkEnd w:id="6"/>
    </w:p>
    <w:p w:rsidR="005C7160" w:rsidRDefault="005C7160">
      <w:pPr>
        <w:ind w:right="-360" w:hanging="180"/>
        <w:rPr>
          <w:b/>
          <w:sz w:val="24"/>
          <w:szCs w:val="24"/>
        </w:rPr>
      </w:pPr>
      <w:bookmarkStart w:id="7" w:name="_bjw74anboqke" w:colFirst="0" w:colLast="0"/>
      <w:bookmarkEnd w:id="7"/>
    </w:p>
    <w:p w:rsidR="005C7160" w:rsidRDefault="007A5606">
      <w:pPr>
        <w:rPr>
          <w:b/>
          <w:sz w:val="24"/>
          <w:szCs w:val="24"/>
        </w:rPr>
      </w:pPr>
      <w:bookmarkStart w:id="8" w:name="_bbf2ewwownk5" w:colFirst="0" w:colLast="0"/>
      <w:bookmarkEnd w:id="8"/>
      <w:r>
        <w:rPr>
          <w:b/>
          <w:sz w:val="24"/>
          <w:szCs w:val="24"/>
        </w:rPr>
        <w:lastRenderedPageBreak/>
        <w:t>Figure 1: New COVID-19 cases reported by day and AU region, 15 February - 15 December 2020</w:t>
      </w:r>
    </w:p>
    <w:p w:rsidR="005C7160" w:rsidRDefault="007A5606">
      <w:pPr>
        <w:rPr>
          <w:sz w:val="24"/>
          <w:szCs w:val="24"/>
        </w:rPr>
      </w:pPr>
      <w:bookmarkStart w:id="9" w:name="_k1jh3m3gbb93" w:colFirst="0" w:colLast="0"/>
      <w:bookmarkEnd w:id="9"/>
      <w:r>
        <w:rPr>
          <w:noProof/>
          <w:sz w:val="24"/>
          <w:szCs w:val="24"/>
        </w:rPr>
        <w:drawing>
          <wp:inline distT="114300" distB="114300" distL="114300" distR="114300">
            <wp:extent cx="6115050" cy="3784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15050" cy="3784600"/>
                    </a:xfrm>
                    <a:prstGeom prst="rect">
                      <a:avLst/>
                    </a:prstGeom>
                    <a:ln/>
                  </pic:spPr>
                </pic:pic>
              </a:graphicData>
            </a:graphic>
          </wp:inline>
        </w:drawing>
      </w:r>
    </w:p>
    <w:p w:rsidR="005C7160" w:rsidRDefault="005C7160">
      <w:pPr>
        <w:pBdr>
          <w:top w:val="nil"/>
          <w:left w:val="nil"/>
          <w:bottom w:val="nil"/>
          <w:right w:val="nil"/>
          <w:between w:val="nil"/>
        </w:pBdr>
        <w:rPr>
          <w:b/>
          <w:sz w:val="24"/>
          <w:szCs w:val="24"/>
        </w:rPr>
      </w:pPr>
      <w:bookmarkStart w:id="10" w:name="_q44ir5fmksmj" w:colFirst="0" w:colLast="0"/>
      <w:bookmarkEnd w:id="10"/>
    </w:p>
    <w:p w:rsidR="005C7160" w:rsidRDefault="007A5606">
      <w:pPr>
        <w:pBdr>
          <w:top w:val="nil"/>
          <w:left w:val="nil"/>
          <w:bottom w:val="nil"/>
          <w:right w:val="nil"/>
          <w:between w:val="nil"/>
        </w:pBdr>
        <w:rPr>
          <w:b/>
          <w:sz w:val="24"/>
          <w:szCs w:val="24"/>
        </w:rPr>
      </w:pPr>
      <w:bookmarkStart w:id="11" w:name="_ynbx93kh77j6" w:colFirst="0" w:colLast="0"/>
      <w:bookmarkEnd w:id="11"/>
      <w:r>
        <w:rPr>
          <w:b/>
          <w:sz w:val="24"/>
          <w:szCs w:val="24"/>
        </w:rPr>
        <w:t>NEW Africa CDC Response Activities:</w:t>
      </w:r>
    </w:p>
    <w:p w:rsidR="005C7160" w:rsidRDefault="007A5606">
      <w:pPr>
        <w:rPr>
          <w:color w:val="3C78D8"/>
          <w:sz w:val="24"/>
          <w:szCs w:val="24"/>
          <w:highlight w:val="white"/>
        </w:rPr>
      </w:pPr>
      <w:bookmarkStart w:id="12" w:name="_ia4j4s72ymlp" w:colFirst="0" w:colLast="0"/>
      <w:bookmarkEnd w:id="12"/>
      <w:r>
        <w:rPr>
          <w:b/>
          <w:sz w:val="24"/>
          <w:szCs w:val="24"/>
        </w:rPr>
        <w:t>General:</w:t>
      </w:r>
    </w:p>
    <w:p w:rsidR="005C7160" w:rsidRDefault="005C7160">
      <w:pPr>
        <w:shd w:val="clear" w:color="auto" w:fill="FFFFFF"/>
        <w:rPr>
          <w:color w:val="1155CC"/>
          <w:sz w:val="24"/>
          <w:szCs w:val="24"/>
          <w:highlight w:val="white"/>
        </w:rPr>
      </w:pPr>
      <w:bookmarkStart w:id="13" w:name="_pvfbus3788s" w:colFirst="0" w:colLast="0"/>
      <w:bookmarkEnd w:id="13"/>
    </w:p>
    <w:p w:rsidR="005C7160" w:rsidRDefault="007A5606">
      <w:pPr>
        <w:numPr>
          <w:ilvl w:val="0"/>
          <w:numId w:val="5"/>
        </w:numPr>
        <w:shd w:val="clear" w:color="auto" w:fill="FFFFFF"/>
        <w:rPr>
          <w:sz w:val="24"/>
          <w:szCs w:val="24"/>
          <w:highlight w:val="white"/>
        </w:rPr>
      </w:pPr>
      <w:bookmarkStart w:id="14" w:name="_ryim0elpc7uk" w:colFirst="0" w:colLast="0"/>
      <w:bookmarkEnd w:id="14"/>
      <w:r>
        <w:rPr>
          <w:sz w:val="24"/>
          <w:szCs w:val="24"/>
          <w:highlight w:val="white"/>
        </w:rPr>
        <w:t xml:space="preserve">H. E the Commissioner for Social Affairs, Amira </w:t>
      </w:r>
      <w:proofErr w:type="spellStart"/>
      <w:r>
        <w:rPr>
          <w:sz w:val="24"/>
          <w:szCs w:val="24"/>
          <w:highlight w:val="white"/>
        </w:rPr>
        <w:t>Elfadil</w:t>
      </w:r>
      <w:proofErr w:type="spellEnd"/>
      <w:r>
        <w:rPr>
          <w:sz w:val="24"/>
          <w:szCs w:val="24"/>
          <w:highlight w:val="white"/>
        </w:rPr>
        <w:t xml:space="preserve">; H. E the Commissioner for Human Resources of Science &amp; Technology, Prof. Sarah </w:t>
      </w:r>
      <w:proofErr w:type="spellStart"/>
      <w:r>
        <w:rPr>
          <w:sz w:val="24"/>
          <w:szCs w:val="24"/>
          <w:highlight w:val="white"/>
        </w:rPr>
        <w:t>Agbor</w:t>
      </w:r>
      <w:proofErr w:type="spellEnd"/>
      <w:r>
        <w:rPr>
          <w:sz w:val="24"/>
          <w:szCs w:val="24"/>
          <w:highlight w:val="white"/>
        </w:rPr>
        <w:t xml:space="preserve"> of African Union; and H.E. Ambassador of the Chinese Mission to the AU, Liu </w:t>
      </w:r>
      <w:proofErr w:type="spellStart"/>
      <w:r>
        <w:rPr>
          <w:sz w:val="24"/>
          <w:szCs w:val="24"/>
          <w:highlight w:val="white"/>
        </w:rPr>
        <w:t>Yuxi</w:t>
      </w:r>
      <w:proofErr w:type="spellEnd"/>
      <w:r>
        <w:rPr>
          <w:sz w:val="24"/>
          <w:szCs w:val="24"/>
          <w:highlight w:val="white"/>
        </w:rPr>
        <w:t xml:space="preserve"> jointly unveiled the new Africa C</w:t>
      </w:r>
      <w:r>
        <w:rPr>
          <w:sz w:val="24"/>
          <w:szCs w:val="24"/>
          <w:highlight w:val="white"/>
        </w:rPr>
        <w:t xml:space="preserve">DC headquarters building project on Monday, 14 December 2020 at 11 am EAT. The project site is located at the Africa village in Addis Ababa, Ethiopia. Link: </w:t>
      </w:r>
      <w:r>
        <w:rPr>
          <w:color w:val="2F5496"/>
          <w:sz w:val="24"/>
          <w:szCs w:val="24"/>
          <w:highlight w:val="white"/>
        </w:rPr>
        <w:t>https://twitter.com/AfricaCDC/status/1338407852407451649?s=20</w:t>
      </w:r>
    </w:p>
    <w:p w:rsidR="005C7160" w:rsidRDefault="007A5606">
      <w:pPr>
        <w:numPr>
          <w:ilvl w:val="0"/>
          <w:numId w:val="5"/>
        </w:numPr>
        <w:shd w:val="clear" w:color="auto" w:fill="FFFFFF"/>
        <w:rPr>
          <w:sz w:val="24"/>
          <w:szCs w:val="24"/>
          <w:highlight w:val="white"/>
        </w:rPr>
      </w:pPr>
      <w:bookmarkStart w:id="15" w:name="_erv26xxj6lwl" w:colFirst="0" w:colLast="0"/>
      <w:bookmarkEnd w:id="15"/>
      <w:r>
        <w:rPr>
          <w:sz w:val="24"/>
          <w:szCs w:val="24"/>
          <w:highlight w:val="white"/>
        </w:rPr>
        <w:t xml:space="preserve">This week, Dr John </w:t>
      </w:r>
      <w:proofErr w:type="spellStart"/>
      <w:r>
        <w:rPr>
          <w:sz w:val="24"/>
          <w:szCs w:val="24"/>
          <w:highlight w:val="white"/>
        </w:rPr>
        <w:t>Nkengasong</w:t>
      </w:r>
      <w:proofErr w:type="spellEnd"/>
      <w:r>
        <w:rPr>
          <w:sz w:val="24"/>
          <w:szCs w:val="24"/>
          <w:highlight w:val="white"/>
        </w:rPr>
        <w:t>, the Di</w:t>
      </w:r>
      <w:r>
        <w:rPr>
          <w:sz w:val="24"/>
          <w:szCs w:val="24"/>
          <w:highlight w:val="white"/>
        </w:rPr>
        <w:t>rector of the Africa CDC was honoured in New African Magazine as one of the “</w:t>
      </w:r>
      <w:hyperlink r:id="rId8">
        <w:r>
          <w:rPr>
            <w:color w:val="1155CC"/>
            <w:sz w:val="24"/>
            <w:szCs w:val="24"/>
            <w:highlight w:val="white"/>
            <w:u w:val="single"/>
          </w:rPr>
          <w:t>100 Most Influential Africans</w:t>
        </w:r>
      </w:hyperlink>
      <w:r>
        <w:rPr>
          <w:sz w:val="24"/>
          <w:szCs w:val="24"/>
          <w:highlight w:val="white"/>
        </w:rPr>
        <w:t>”.</w:t>
      </w:r>
    </w:p>
    <w:p w:rsidR="005C7160" w:rsidRDefault="007A5606">
      <w:pPr>
        <w:numPr>
          <w:ilvl w:val="0"/>
          <w:numId w:val="5"/>
        </w:numPr>
        <w:shd w:val="clear" w:color="auto" w:fill="FFFFFF"/>
        <w:rPr>
          <w:sz w:val="24"/>
          <w:szCs w:val="24"/>
          <w:highlight w:val="white"/>
        </w:rPr>
      </w:pPr>
      <w:bookmarkStart w:id="16" w:name="_knyhgewly121" w:colFirst="0" w:colLast="0"/>
      <w:bookmarkEnd w:id="16"/>
      <w:r>
        <w:rPr>
          <w:sz w:val="24"/>
          <w:szCs w:val="24"/>
          <w:highlight w:val="white"/>
        </w:rPr>
        <w:t>Africa CDC Deputy Director, Dr Ahmed Ogwell, visited the Southern Regional Collaborating Centre (RCC) in Lusaka, Zambia from 6 to 9 December 2020 to meet with Zambian officials about expanding the RCC.</w:t>
      </w:r>
    </w:p>
    <w:p w:rsidR="005C7160" w:rsidRDefault="007A5606">
      <w:pPr>
        <w:numPr>
          <w:ilvl w:val="0"/>
          <w:numId w:val="5"/>
        </w:numPr>
        <w:shd w:val="clear" w:color="auto" w:fill="FFFFFF"/>
        <w:rPr>
          <w:sz w:val="24"/>
          <w:szCs w:val="24"/>
          <w:highlight w:val="white"/>
        </w:rPr>
      </w:pPr>
      <w:bookmarkStart w:id="17" w:name="_esstqb9f2z0" w:colFirst="0" w:colLast="0"/>
      <w:bookmarkEnd w:id="17"/>
      <w:r>
        <w:rPr>
          <w:sz w:val="24"/>
          <w:szCs w:val="24"/>
          <w:highlight w:val="white"/>
        </w:rPr>
        <w:t xml:space="preserve">Last week, Dr. </w:t>
      </w:r>
      <w:proofErr w:type="spellStart"/>
      <w:r>
        <w:rPr>
          <w:sz w:val="24"/>
          <w:szCs w:val="24"/>
          <w:highlight w:val="white"/>
        </w:rPr>
        <w:t>Nkengasong</w:t>
      </w:r>
      <w:proofErr w:type="spellEnd"/>
      <w:r>
        <w:rPr>
          <w:sz w:val="24"/>
          <w:szCs w:val="24"/>
          <w:highlight w:val="white"/>
        </w:rPr>
        <w:t xml:space="preserve"> hosted Africa CDC’s weekly p</w:t>
      </w:r>
      <w:r>
        <w:rPr>
          <w:sz w:val="24"/>
          <w:szCs w:val="24"/>
          <w:highlight w:val="white"/>
        </w:rPr>
        <w:t xml:space="preserve">ress briefing on Thursday 10 December 2020 at 11 am EAT.  The recording for the press brief is available on the Africa CDC </w:t>
      </w:r>
      <w:hyperlink r:id="rId9">
        <w:r>
          <w:rPr>
            <w:color w:val="1155CC"/>
            <w:sz w:val="24"/>
            <w:szCs w:val="24"/>
            <w:highlight w:val="white"/>
            <w:u w:val="single"/>
          </w:rPr>
          <w:t>Facebook page</w:t>
        </w:r>
      </w:hyperlink>
      <w:r>
        <w:rPr>
          <w:sz w:val="24"/>
          <w:szCs w:val="24"/>
          <w:highlight w:val="white"/>
        </w:rPr>
        <w:t>.</w:t>
      </w:r>
    </w:p>
    <w:p w:rsidR="005C7160" w:rsidRDefault="007A5606">
      <w:pPr>
        <w:numPr>
          <w:ilvl w:val="0"/>
          <w:numId w:val="5"/>
        </w:numPr>
        <w:shd w:val="clear" w:color="auto" w:fill="FFFFFF"/>
        <w:rPr>
          <w:sz w:val="24"/>
          <w:szCs w:val="24"/>
          <w:highlight w:val="white"/>
        </w:rPr>
      </w:pPr>
      <w:bookmarkStart w:id="18" w:name="_9m5zxxxs0zr2" w:colFirst="0" w:colLast="0"/>
      <w:bookmarkEnd w:id="18"/>
      <w:r>
        <w:rPr>
          <w:sz w:val="24"/>
          <w:szCs w:val="24"/>
          <w:highlight w:val="white"/>
        </w:rPr>
        <w:t>Africa CDC Public Health E</w:t>
      </w:r>
      <w:r>
        <w:rPr>
          <w:sz w:val="24"/>
          <w:szCs w:val="24"/>
          <w:highlight w:val="white"/>
        </w:rPr>
        <w:t xml:space="preserve">mergency Operations </w:t>
      </w:r>
      <w:proofErr w:type="spellStart"/>
      <w:r>
        <w:rPr>
          <w:sz w:val="24"/>
          <w:szCs w:val="24"/>
          <w:highlight w:val="white"/>
        </w:rPr>
        <w:t>Centres</w:t>
      </w:r>
      <w:proofErr w:type="spellEnd"/>
      <w:r>
        <w:rPr>
          <w:sz w:val="24"/>
          <w:szCs w:val="24"/>
          <w:highlight w:val="white"/>
        </w:rPr>
        <w:t xml:space="preserve"> (PHEOCs) and COVID-19 Management will hold its weekly PHEOC webinar series on </w:t>
      </w:r>
      <w:proofErr w:type="spellStart"/>
      <w:r>
        <w:rPr>
          <w:sz w:val="24"/>
          <w:szCs w:val="24"/>
          <w:highlight w:val="white"/>
        </w:rPr>
        <w:t>Multisectoral</w:t>
      </w:r>
      <w:proofErr w:type="spellEnd"/>
      <w:r>
        <w:rPr>
          <w:sz w:val="24"/>
          <w:szCs w:val="24"/>
          <w:highlight w:val="white"/>
        </w:rPr>
        <w:t xml:space="preserve"> Coordination </w:t>
      </w:r>
      <w:r>
        <w:rPr>
          <w:sz w:val="24"/>
          <w:szCs w:val="24"/>
          <w:highlight w:val="white"/>
        </w:rPr>
        <w:lastRenderedPageBreak/>
        <w:t xml:space="preserve">titled “Developing and Using Concept of Operations in PHEOCs” on Thursday, 17 </w:t>
      </w:r>
      <w:r w:rsidR="00F86353">
        <w:rPr>
          <w:sz w:val="24"/>
          <w:szCs w:val="24"/>
          <w:highlight w:val="white"/>
        </w:rPr>
        <w:t>December 2020</w:t>
      </w:r>
      <w:r>
        <w:rPr>
          <w:sz w:val="24"/>
          <w:szCs w:val="24"/>
          <w:highlight w:val="white"/>
        </w:rPr>
        <w:t xml:space="preserve"> at 3 pm EAT. Registration link</w:t>
      </w:r>
      <w:r>
        <w:rPr>
          <w:sz w:val="24"/>
          <w:szCs w:val="24"/>
          <w:highlight w:val="white"/>
        </w:rPr>
        <w:t xml:space="preserve">: </w:t>
      </w:r>
      <w:r>
        <w:rPr>
          <w:color w:val="2F5496"/>
          <w:sz w:val="24"/>
          <w:szCs w:val="24"/>
          <w:highlight w:val="white"/>
        </w:rPr>
        <w:t>bit.ly/3jxGzv9</w:t>
      </w:r>
      <w:r>
        <w:rPr>
          <w:sz w:val="24"/>
          <w:szCs w:val="24"/>
          <w:highlight w:val="white"/>
        </w:rPr>
        <w:t xml:space="preserve"> </w:t>
      </w:r>
    </w:p>
    <w:p w:rsidR="005C7160" w:rsidRDefault="005C7160">
      <w:pPr>
        <w:shd w:val="clear" w:color="auto" w:fill="FFFFFF"/>
        <w:ind w:left="720"/>
        <w:rPr>
          <w:color w:val="2F5496"/>
          <w:sz w:val="24"/>
          <w:szCs w:val="24"/>
          <w:highlight w:val="white"/>
        </w:rPr>
      </w:pPr>
      <w:bookmarkStart w:id="19" w:name="_ho55m3edua4z" w:colFirst="0" w:colLast="0"/>
      <w:bookmarkEnd w:id="19"/>
    </w:p>
    <w:p w:rsidR="005C7160" w:rsidRDefault="007A5606">
      <w:pPr>
        <w:shd w:val="clear" w:color="auto" w:fill="FFFFFF"/>
        <w:spacing w:line="276" w:lineRule="auto"/>
        <w:rPr>
          <w:b/>
          <w:sz w:val="24"/>
          <w:szCs w:val="24"/>
        </w:rPr>
      </w:pPr>
      <w:bookmarkStart w:id="20" w:name="_un2hiadd6u9m" w:colFirst="0" w:colLast="0"/>
      <w:bookmarkEnd w:id="20"/>
      <w:r>
        <w:rPr>
          <w:b/>
          <w:sz w:val="24"/>
          <w:szCs w:val="24"/>
        </w:rPr>
        <w:t>Healthcare Preparedness and Medical Countermeasures:</w:t>
      </w:r>
    </w:p>
    <w:p w:rsidR="005C7160" w:rsidRDefault="007A5606">
      <w:pPr>
        <w:shd w:val="clear" w:color="auto" w:fill="FFFFFF"/>
        <w:spacing w:line="276" w:lineRule="auto"/>
        <w:rPr>
          <w:i/>
          <w:sz w:val="24"/>
          <w:szCs w:val="24"/>
        </w:rPr>
      </w:pPr>
      <w:bookmarkStart w:id="21" w:name="_q2w499gp7vqv" w:colFirst="0" w:colLast="0"/>
      <w:bookmarkEnd w:id="21"/>
      <w:r>
        <w:rPr>
          <w:i/>
          <w:sz w:val="24"/>
          <w:szCs w:val="24"/>
        </w:rPr>
        <w:t>Case Management</w:t>
      </w:r>
    </w:p>
    <w:p w:rsidR="005C7160" w:rsidRDefault="007A5606">
      <w:pPr>
        <w:numPr>
          <w:ilvl w:val="0"/>
          <w:numId w:val="1"/>
        </w:numPr>
        <w:shd w:val="clear" w:color="auto" w:fill="FFFFFF"/>
        <w:ind w:right="540"/>
        <w:rPr>
          <w:sz w:val="24"/>
          <w:szCs w:val="24"/>
        </w:rPr>
      </w:pPr>
      <w:bookmarkStart w:id="22" w:name="_cbzo99xkc9r" w:colFirst="0" w:colLast="0"/>
      <w:bookmarkEnd w:id="22"/>
      <w:r>
        <w:rPr>
          <w:sz w:val="24"/>
          <w:szCs w:val="24"/>
        </w:rPr>
        <w:t xml:space="preserve">The Africa CDC Case Management Technical Working Group (TWG) held its 34th clinical webinar series titled “COVID-19 and pediatric surgery considerations” on </w:t>
      </w:r>
      <w:r>
        <w:rPr>
          <w:sz w:val="24"/>
          <w:szCs w:val="24"/>
        </w:rPr>
        <w:t xml:space="preserve">Thursday, 10 December 2020 for over 200 participants. The </w:t>
      </w:r>
      <w:bookmarkStart w:id="23" w:name="_GoBack"/>
      <w:bookmarkEnd w:id="23"/>
      <w:r w:rsidR="0095559C">
        <w:rPr>
          <w:sz w:val="24"/>
          <w:szCs w:val="24"/>
        </w:rPr>
        <w:t>recording can</w:t>
      </w:r>
      <w:r>
        <w:rPr>
          <w:sz w:val="24"/>
          <w:szCs w:val="24"/>
        </w:rPr>
        <w:t xml:space="preserve"> be accessed here: </w:t>
      </w:r>
      <w:hyperlink r:id="rId10">
        <w:r>
          <w:rPr>
            <w:color w:val="1155CC"/>
            <w:sz w:val="24"/>
            <w:szCs w:val="24"/>
            <w:u w:val="single"/>
          </w:rPr>
          <w:t>CCOP | Africa CDC Institute</w:t>
        </w:r>
      </w:hyperlink>
    </w:p>
    <w:p w:rsidR="005C7160" w:rsidRDefault="007A5606">
      <w:pPr>
        <w:numPr>
          <w:ilvl w:val="0"/>
          <w:numId w:val="1"/>
        </w:numPr>
        <w:shd w:val="clear" w:color="auto" w:fill="FFFFFF"/>
        <w:ind w:right="540"/>
        <w:rPr>
          <w:sz w:val="24"/>
          <w:szCs w:val="24"/>
        </w:rPr>
      </w:pPr>
      <w:bookmarkStart w:id="24" w:name="_9tuq0jot3bmk" w:colFirst="0" w:colLast="0"/>
      <w:bookmarkEnd w:id="24"/>
      <w:r>
        <w:rPr>
          <w:sz w:val="24"/>
          <w:szCs w:val="24"/>
        </w:rPr>
        <w:t>The Africa CDC Case Management TWG held its eighth Mental Health Aspects o</w:t>
      </w:r>
      <w:r>
        <w:rPr>
          <w:sz w:val="24"/>
          <w:szCs w:val="24"/>
        </w:rPr>
        <w:t xml:space="preserve">f COVID-19 session titled “Mental health experiences of frontline workers and patients’’ on Thursday, 10 December 2020 for over 100 participants. The recording  can be accessed here: </w:t>
      </w:r>
      <w:hyperlink r:id="rId11">
        <w:r>
          <w:rPr>
            <w:color w:val="1155CC"/>
            <w:sz w:val="24"/>
            <w:szCs w:val="24"/>
            <w:u w:val="single"/>
          </w:rPr>
          <w:t>Webinar Series on Mental Health Aspects of COVID-19</w:t>
        </w:r>
      </w:hyperlink>
      <w:r>
        <w:rPr>
          <w:sz w:val="24"/>
          <w:szCs w:val="24"/>
        </w:rPr>
        <w:t xml:space="preserve"> </w:t>
      </w:r>
    </w:p>
    <w:p w:rsidR="005C7160" w:rsidRDefault="005C7160">
      <w:pPr>
        <w:spacing w:before="40"/>
        <w:ind w:right="540"/>
        <w:rPr>
          <w:rFonts w:ascii="Arial" w:eastAsia="Arial" w:hAnsi="Arial" w:cs="Arial"/>
          <w:color w:val="FFFFFF"/>
          <w:sz w:val="22"/>
          <w:szCs w:val="22"/>
        </w:rPr>
      </w:pPr>
      <w:bookmarkStart w:id="25" w:name="_d6c8ka3ullc3" w:colFirst="0" w:colLast="0"/>
      <w:bookmarkEnd w:id="25"/>
    </w:p>
    <w:p w:rsidR="005C7160" w:rsidRDefault="007A5606">
      <w:pPr>
        <w:spacing w:before="40"/>
        <w:ind w:right="540"/>
        <w:rPr>
          <w:b/>
          <w:sz w:val="24"/>
          <w:szCs w:val="24"/>
        </w:rPr>
      </w:pPr>
      <w:bookmarkStart w:id="26" w:name="_9eu04t213mg7" w:colFirst="0" w:colLast="0"/>
      <w:bookmarkEnd w:id="26"/>
      <w:r>
        <w:rPr>
          <w:b/>
          <w:sz w:val="24"/>
          <w:szCs w:val="24"/>
        </w:rPr>
        <w:t>Laboratory:</w:t>
      </w:r>
    </w:p>
    <w:p w:rsidR="005C7160" w:rsidRDefault="007A5606">
      <w:pPr>
        <w:numPr>
          <w:ilvl w:val="0"/>
          <w:numId w:val="2"/>
        </w:numPr>
        <w:spacing w:before="40"/>
        <w:ind w:right="540"/>
        <w:rPr>
          <w:sz w:val="24"/>
          <w:szCs w:val="24"/>
        </w:rPr>
      </w:pPr>
      <w:bookmarkStart w:id="27" w:name="_frkjly8qesnm" w:colFirst="0" w:colLast="0"/>
      <w:bookmarkEnd w:id="27"/>
      <w:r>
        <w:rPr>
          <w:sz w:val="24"/>
          <w:szCs w:val="24"/>
        </w:rPr>
        <w:t>Over</w:t>
      </w:r>
      <w:r>
        <w:rPr>
          <w:sz w:val="24"/>
          <w:szCs w:val="24"/>
        </w:rPr>
        <w:t xml:space="preserve"> 23.7 million tests for COVID-19 have been conducted to date with a positivity rate of 10% and test per case ratio of 10, which is a 4.04% increase from last week.</w:t>
      </w:r>
    </w:p>
    <w:p w:rsidR="005C7160" w:rsidRDefault="007A5606">
      <w:pPr>
        <w:numPr>
          <w:ilvl w:val="0"/>
          <w:numId w:val="2"/>
        </w:numPr>
        <w:ind w:right="540"/>
        <w:rPr>
          <w:sz w:val="24"/>
          <w:szCs w:val="24"/>
        </w:rPr>
      </w:pPr>
      <w:bookmarkStart w:id="28" w:name="_emztb7bmgqn6" w:colFirst="0" w:colLast="0"/>
      <w:bookmarkEnd w:id="28"/>
      <w:r>
        <w:rPr>
          <w:sz w:val="24"/>
          <w:szCs w:val="24"/>
        </w:rPr>
        <w:t>Africa CDC Laboratory has procured 2.9 million antigen tests from different partners and mor</w:t>
      </w:r>
      <w:r>
        <w:rPr>
          <w:sz w:val="24"/>
          <w:szCs w:val="24"/>
        </w:rPr>
        <w:t xml:space="preserve">e than 700,000 have been distributed to Member States. </w:t>
      </w:r>
    </w:p>
    <w:p w:rsidR="005C7160" w:rsidRDefault="005C7160">
      <w:pPr>
        <w:ind w:left="360"/>
        <w:jc w:val="both"/>
        <w:rPr>
          <w:b/>
          <w:sz w:val="24"/>
          <w:szCs w:val="24"/>
        </w:rPr>
      </w:pPr>
      <w:bookmarkStart w:id="29" w:name="_chsox4tagduj" w:colFirst="0" w:colLast="0"/>
      <w:bookmarkEnd w:id="29"/>
    </w:p>
    <w:p w:rsidR="005C7160" w:rsidRDefault="007A5606">
      <w:pPr>
        <w:ind w:right="540"/>
        <w:rPr>
          <w:b/>
          <w:sz w:val="24"/>
          <w:szCs w:val="24"/>
        </w:rPr>
      </w:pPr>
      <w:bookmarkStart w:id="30" w:name="_1n8jxpf3q0n" w:colFirst="0" w:colLast="0"/>
      <w:bookmarkEnd w:id="30"/>
      <w:r>
        <w:rPr>
          <w:b/>
          <w:sz w:val="24"/>
          <w:szCs w:val="24"/>
        </w:rPr>
        <w:t xml:space="preserve">   Surveillance</w:t>
      </w:r>
    </w:p>
    <w:p w:rsidR="005C7160" w:rsidRDefault="007A5606">
      <w:pPr>
        <w:numPr>
          <w:ilvl w:val="0"/>
          <w:numId w:val="4"/>
        </w:numPr>
        <w:pBdr>
          <w:top w:val="nil"/>
          <w:left w:val="nil"/>
          <w:bottom w:val="nil"/>
          <w:right w:val="nil"/>
          <w:between w:val="nil"/>
        </w:pBdr>
        <w:spacing w:before="40"/>
        <w:ind w:right="540"/>
        <w:rPr>
          <w:sz w:val="24"/>
          <w:szCs w:val="24"/>
        </w:rPr>
      </w:pPr>
      <w:bookmarkStart w:id="31" w:name="_7njbdgtxwdmv" w:colFirst="0" w:colLast="0"/>
      <w:bookmarkEnd w:id="31"/>
      <w:r>
        <w:rPr>
          <w:sz w:val="24"/>
          <w:szCs w:val="24"/>
        </w:rPr>
        <w:t xml:space="preserve">Africa CDC is currently supporting and implementing COVID-19 seroprevalence survey studies in 18 Member States. Four countries are at the implementation stage, seven countries at the </w:t>
      </w:r>
      <w:r>
        <w:rPr>
          <w:sz w:val="24"/>
          <w:szCs w:val="24"/>
        </w:rPr>
        <w:t>advanced planning stage and seven countries at the planning stage.</w:t>
      </w:r>
    </w:p>
    <w:p w:rsidR="005C7160" w:rsidRDefault="005C7160">
      <w:pPr>
        <w:pBdr>
          <w:top w:val="nil"/>
          <w:left w:val="nil"/>
          <w:bottom w:val="nil"/>
          <w:right w:val="nil"/>
          <w:between w:val="nil"/>
        </w:pBdr>
        <w:spacing w:before="40"/>
        <w:ind w:right="540"/>
        <w:rPr>
          <w:sz w:val="24"/>
          <w:szCs w:val="24"/>
        </w:rPr>
      </w:pPr>
      <w:bookmarkStart w:id="32" w:name="_t43c8e28f3sb" w:colFirst="0" w:colLast="0"/>
      <w:bookmarkEnd w:id="32"/>
    </w:p>
    <w:p w:rsidR="005C7160" w:rsidRDefault="007A5606">
      <w:pPr>
        <w:ind w:right="540"/>
        <w:rPr>
          <w:b/>
          <w:sz w:val="24"/>
          <w:szCs w:val="24"/>
        </w:rPr>
      </w:pPr>
      <w:bookmarkStart w:id="33" w:name="_31p29gddey2h" w:colFirst="0" w:colLast="0"/>
      <w:bookmarkEnd w:id="33"/>
      <w:r>
        <w:rPr>
          <w:b/>
          <w:sz w:val="24"/>
          <w:szCs w:val="24"/>
        </w:rPr>
        <w:t>Sciences, Standards and Regulations:</w:t>
      </w:r>
    </w:p>
    <w:p w:rsidR="005C7160" w:rsidRDefault="007A5606">
      <w:pPr>
        <w:numPr>
          <w:ilvl w:val="0"/>
          <w:numId w:val="8"/>
        </w:numPr>
        <w:ind w:right="540"/>
        <w:rPr>
          <w:sz w:val="24"/>
          <w:szCs w:val="24"/>
        </w:rPr>
      </w:pPr>
      <w:bookmarkStart w:id="34" w:name="_4zx1a0pbtl6q" w:colFirst="0" w:colLast="0"/>
      <w:bookmarkEnd w:id="34"/>
      <w:r>
        <w:rPr>
          <w:sz w:val="24"/>
          <w:szCs w:val="24"/>
        </w:rPr>
        <w:t xml:space="preserve">Access the weekly COVID-19 Scientific and Public Health Policy Update which is published every other week on Tuesdays at </w:t>
      </w:r>
      <w:hyperlink r:id="rId12">
        <w:r>
          <w:rPr>
            <w:color w:val="1155CC"/>
            <w:sz w:val="24"/>
            <w:szCs w:val="24"/>
            <w:u w:val="single"/>
          </w:rPr>
          <w:t>https://africacdc.org/resources/</w:t>
        </w:r>
      </w:hyperlink>
      <w:r>
        <w:rPr>
          <w:color w:val="1155CC"/>
          <w:sz w:val="24"/>
          <w:szCs w:val="24"/>
        </w:rPr>
        <w:t xml:space="preserve"> </w:t>
      </w:r>
      <w:r>
        <w:rPr>
          <w:sz w:val="24"/>
          <w:szCs w:val="24"/>
        </w:rPr>
        <w:t xml:space="preserve">or the WHO AFRO link: </w:t>
      </w:r>
      <w:hyperlink r:id="rId13">
        <w:r>
          <w:rPr>
            <w:color w:val="1155CC"/>
            <w:sz w:val="24"/>
            <w:szCs w:val="24"/>
            <w:u w:val="single"/>
          </w:rPr>
          <w:t>https://afrolib.afro.who.int/pmb/opac_css/doc_num.php?explnum_</w:t>
        </w:r>
        <w:r>
          <w:rPr>
            <w:color w:val="1155CC"/>
            <w:sz w:val="24"/>
            <w:szCs w:val="24"/>
            <w:u w:val="single"/>
          </w:rPr>
          <w:t>id=7728</w:t>
        </w:r>
      </w:hyperlink>
      <w:r>
        <w:rPr>
          <w:sz w:val="24"/>
          <w:szCs w:val="24"/>
        </w:rPr>
        <w:t xml:space="preserve">   </w:t>
      </w:r>
    </w:p>
    <w:p w:rsidR="005C7160" w:rsidRDefault="007A5606">
      <w:pPr>
        <w:numPr>
          <w:ilvl w:val="0"/>
          <w:numId w:val="8"/>
        </w:numPr>
        <w:ind w:right="540"/>
        <w:rPr>
          <w:sz w:val="24"/>
          <w:szCs w:val="24"/>
        </w:rPr>
      </w:pPr>
      <w:bookmarkStart w:id="35" w:name="_1xb5rwuzffvv" w:colFirst="0" w:colLast="0"/>
      <w:bookmarkEnd w:id="35"/>
      <w:r>
        <w:rPr>
          <w:sz w:val="24"/>
          <w:szCs w:val="24"/>
        </w:rPr>
        <w:t xml:space="preserve">This week the Partnership for Evidence-Based Response to COVID-19 (PERC) released their bi-weekly report, which can be accessed on both the </w:t>
      </w:r>
      <w:hyperlink r:id="rId14">
        <w:r>
          <w:rPr>
            <w:color w:val="1155CC"/>
            <w:sz w:val="24"/>
            <w:szCs w:val="24"/>
            <w:u w:val="single"/>
          </w:rPr>
          <w:t>PERC</w:t>
        </w:r>
      </w:hyperlink>
      <w:r>
        <w:rPr>
          <w:sz w:val="24"/>
          <w:szCs w:val="24"/>
        </w:rPr>
        <w:t xml:space="preserve"> and </w:t>
      </w:r>
      <w:hyperlink r:id="rId15">
        <w:r>
          <w:rPr>
            <w:color w:val="1155CC"/>
            <w:sz w:val="24"/>
            <w:szCs w:val="24"/>
            <w:u w:val="single"/>
          </w:rPr>
          <w:t>Africa CDC website</w:t>
        </w:r>
      </w:hyperlink>
      <w:r>
        <w:rPr>
          <w:sz w:val="24"/>
          <w:szCs w:val="24"/>
        </w:rPr>
        <w:t xml:space="preserve">. </w:t>
      </w:r>
    </w:p>
    <w:p w:rsidR="00F86353" w:rsidRDefault="00F86353">
      <w:pPr>
        <w:spacing w:before="200" w:after="200"/>
        <w:ind w:right="540"/>
        <w:rPr>
          <w:b/>
          <w:sz w:val="24"/>
          <w:szCs w:val="24"/>
        </w:rPr>
      </w:pPr>
      <w:bookmarkStart w:id="36" w:name="_2oc6wd91gtlc" w:colFirst="0" w:colLast="0"/>
      <w:bookmarkEnd w:id="36"/>
    </w:p>
    <w:p w:rsidR="00F86353" w:rsidRDefault="00F86353">
      <w:pPr>
        <w:spacing w:before="200" w:after="200"/>
        <w:ind w:right="540"/>
        <w:rPr>
          <w:b/>
          <w:sz w:val="24"/>
          <w:szCs w:val="24"/>
        </w:rPr>
      </w:pPr>
    </w:p>
    <w:p w:rsidR="00F86353" w:rsidRDefault="00F86353">
      <w:pPr>
        <w:spacing w:before="200" w:after="200"/>
        <w:ind w:right="540"/>
        <w:rPr>
          <w:b/>
          <w:sz w:val="24"/>
          <w:szCs w:val="24"/>
        </w:rPr>
      </w:pPr>
    </w:p>
    <w:p w:rsidR="00F86353" w:rsidRDefault="00F86353">
      <w:pPr>
        <w:spacing w:before="200" w:after="200"/>
        <w:ind w:right="540"/>
        <w:rPr>
          <w:b/>
          <w:sz w:val="24"/>
          <w:szCs w:val="24"/>
        </w:rPr>
      </w:pPr>
    </w:p>
    <w:p w:rsidR="00F86353" w:rsidRDefault="00F86353">
      <w:pPr>
        <w:spacing w:before="200" w:after="200"/>
        <w:ind w:right="540"/>
        <w:rPr>
          <w:b/>
          <w:sz w:val="24"/>
          <w:szCs w:val="24"/>
        </w:rPr>
      </w:pPr>
    </w:p>
    <w:p w:rsidR="005C7160" w:rsidRDefault="007A5606">
      <w:pPr>
        <w:spacing w:before="200" w:after="200"/>
        <w:ind w:right="540"/>
        <w:rPr>
          <w:b/>
          <w:sz w:val="24"/>
          <w:szCs w:val="24"/>
        </w:rPr>
      </w:pPr>
      <w:r>
        <w:rPr>
          <w:b/>
          <w:sz w:val="24"/>
          <w:szCs w:val="24"/>
        </w:rPr>
        <w:lastRenderedPageBreak/>
        <w:t>Recommendations for the Member States:</w:t>
      </w:r>
    </w:p>
    <w:p w:rsidR="005C7160" w:rsidRDefault="007A5606">
      <w:pPr>
        <w:numPr>
          <w:ilvl w:val="0"/>
          <w:numId w:val="3"/>
        </w:numPr>
        <w:ind w:right="540"/>
        <w:rPr>
          <w:sz w:val="24"/>
          <w:szCs w:val="24"/>
        </w:rPr>
      </w:pPr>
      <w:r>
        <w:rPr>
          <w:sz w:val="24"/>
          <w:szCs w:val="24"/>
        </w:rPr>
        <w:t>All Member States should continue to enhance their surveillance</w:t>
      </w:r>
      <w:r>
        <w:rPr>
          <w:sz w:val="24"/>
          <w:szCs w:val="24"/>
          <w:vertAlign w:val="superscript"/>
        </w:rPr>
        <w:footnoteReference w:id="6"/>
      </w:r>
      <w:r>
        <w:rPr>
          <w:sz w:val="24"/>
          <w:szCs w:val="24"/>
        </w:rPr>
        <w:t xml:space="preserve"> to include COVID-19</w:t>
      </w:r>
      <w:r>
        <w:rPr>
          <w:sz w:val="24"/>
          <w:szCs w:val="24"/>
          <w:vertAlign w:val="superscript"/>
        </w:rPr>
        <w:footnoteReference w:id="7"/>
      </w:r>
      <w:r>
        <w:rPr>
          <w:sz w:val="24"/>
          <w:szCs w:val="24"/>
        </w:rPr>
        <w:t xml:space="preserve"> and severe acute respiratory infections (SARI)</w:t>
      </w:r>
      <w:r>
        <w:rPr>
          <w:sz w:val="24"/>
          <w:szCs w:val="24"/>
          <w:vertAlign w:val="superscript"/>
        </w:rPr>
        <w:footnoteReference w:id="8"/>
      </w:r>
      <w:r>
        <w:rPr>
          <w:sz w:val="24"/>
          <w:szCs w:val="24"/>
        </w:rPr>
        <w:t>. Examples of enhanced surveillance include:</w:t>
      </w:r>
    </w:p>
    <w:p w:rsidR="005C7160" w:rsidRDefault="007A5606">
      <w:pPr>
        <w:numPr>
          <w:ilvl w:val="1"/>
          <w:numId w:val="3"/>
        </w:numPr>
        <w:ind w:right="540"/>
        <w:rPr>
          <w:sz w:val="24"/>
          <w:szCs w:val="24"/>
        </w:rPr>
      </w:pPr>
      <w:r>
        <w:rPr>
          <w:sz w:val="24"/>
          <w:szCs w:val="24"/>
        </w:rPr>
        <w:t>A</w:t>
      </w:r>
      <w:r>
        <w:rPr>
          <w:sz w:val="24"/>
          <w:szCs w:val="24"/>
        </w:rPr>
        <w:t>dding questions about travel, contact history, and testing for coronaviruses to existing influenza surveillance systems;</w:t>
      </w:r>
    </w:p>
    <w:p w:rsidR="005C7160" w:rsidRDefault="007A5606">
      <w:pPr>
        <w:numPr>
          <w:ilvl w:val="1"/>
          <w:numId w:val="3"/>
        </w:numPr>
        <w:ind w:right="540"/>
        <w:rPr>
          <w:sz w:val="24"/>
          <w:szCs w:val="24"/>
        </w:rPr>
      </w:pPr>
      <w:bookmarkStart w:id="37" w:name="_19c6y18" w:colFirst="0" w:colLast="0"/>
      <w:bookmarkEnd w:id="37"/>
      <w:r>
        <w:rPr>
          <w:sz w:val="24"/>
          <w:szCs w:val="24"/>
        </w:rPr>
        <w:t>Notifying healthcare facilities to immediately inform local public health officials about persons who meet the case definition for COVI</w:t>
      </w:r>
      <w:r>
        <w:rPr>
          <w:sz w:val="24"/>
          <w:szCs w:val="24"/>
        </w:rPr>
        <w:t>D-19, SARI and/or have recent travel to a country with local transmission or history of contact with a case.</w:t>
      </w:r>
    </w:p>
    <w:p w:rsidR="005C7160" w:rsidRDefault="007A5606">
      <w:pPr>
        <w:numPr>
          <w:ilvl w:val="0"/>
          <w:numId w:val="3"/>
        </w:numPr>
        <w:ind w:right="540"/>
        <w:rPr>
          <w:sz w:val="24"/>
          <w:szCs w:val="24"/>
        </w:rPr>
      </w:pPr>
      <w:r>
        <w:rPr>
          <w:sz w:val="24"/>
          <w:szCs w:val="24"/>
        </w:rPr>
        <w:t>Member States should perform contact tracing of confirmed cases based on transmission type and country capacity.</w:t>
      </w:r>
      <w:r>
        <w:rPr>
          <w:sz w:val="24"/>
          <w:szCs w:val="24"/>
          <w:vertAlign w:val="superscript"/>
        </w:rPr>
        <w:footnoteReference w:id="9"/>
      </w:r>
      <w:r>
        <w:rPr>
          <w:sz w:val="24"/>
          <w:szCs w:val="24"/>
        </w:rPr>
        <w:t xml:space="preserve"> </w:t>
      </w:r>
    </w:p>
    <w:p w:rsidR="005C7160" w:rsidRDefault="007A5606">
      <w:pPr>
        <w:numPr>
          <w:ilvl w:val="0"/>
          <w:numId w:val="3"/>
        </w:numPr>
        <w:ind w:right="540"/>
        <w:rPr>
          <w:sz w:val="24"/>
          <w:szCs w:val="24"/>
        </w:rPr>
      </w:pPr>
      <w:bookmarkStart w:id="38" w:name="_3tbugp1" w:colFirst="0" w:colLast="0"/>
      <w:bookmarkEnd w:id="38"/>
      <w:r>
        <w:rPr>
          <w:sz w:val="24"/>
          <w:szCs w:val="24"/>
        </w:rPr>
        <w:t xml:space="preserve">Member states should notify and </w:t>
      </w:r>
      <w:r>
        <w:rPr>
          <w:sz w:val="24"/>
          <w:szCs w:val="24"/>
        </w:rPr>
        <w:t xml:space="preserve">routinely share with WHO and Africa CDC data regarding suspected or confirmed COVID-19 cases, deaths, recoveries, tests conducted and healthcare workers infected to continually inform these and other updates. Notify Africa CDC by emailing: </w:t>
      </w:r>
      <w:r>
        <w:rPr>
          <w:color w:val="1155CC"/>
          <w:sz w:val="24"/>
          <w:szCs w:val="24"/>
        </w:rPr>
        <w:t>AfricaCDCEBS@afr</w:t>
      </w:r>
      <w:r>
        <w:rPr>
          <w:color w:val="1155CC"/>
          <w:sz w:val="24"/>
          <w:szCs w:val="24"/>
        </w:rPr>
        <w:t>ica-union.org</w:t>
      </w:r>
      <w:r>
        <w:rPr>
          <w:sz w:val="24"/>
          <w:szCs w:val="24"/>
        </w:rPr>
        <w:t>.</w:t>
      </w:r>
    </w:p>
    <w:p w:rsidR="005C7160" w:rsidRDefault="007A5606">
      <w:pPr>
        <w:numPr>
          <w:ilvl w:val="0"/>
          <w:numId w:val="3"/>
        </w:numPr>
        <w:spacing w:after="240"/>
        <w:ind w:right="540"/>
        <w:rPr>
          <w:sz w:val="24"/>
          <w:szCs w:val="24"/>
        </w:rPr>
      </w:pPr>
      <w:r>
        <w:rPr>
          <w:sz w:val="24"/>
          <w:szCs w:val="24"/>
        </w:rPr>
        <w:t>Member states should continue to guide the general public about seeking immediate medical care and informing healthcare providers about recent travel or contact history in anyone who develops symptoms of severe respiratory illness.</w:t>
      </w:r>
    </w:p>
    <w:p w:rsidR="005C7160" w:rsidRDefault="007A5606">
      <w:pPr>
        <w:spacing w:before="200"/>
        <w:ind w:right="540"/>
        <w:rPr>
          <w:b/>
          <w:sz w:val="24"/>
          <w:szCs w:val="24"/>
        </w:rPr>
      </w:pPr>
      <w:r>
        <w:rPr>
          <w:b/>
          <w:sz w:val="24"/>
          <w:szCs w:val="24"/>
        </w:rPr>
        <w:t>Resources</w:t>
      </w:r>
      <w:r>
        <w:rPr>
          <w:b/>
          <w:sz w:val="24"/>
          <w:szCs w:val="24"/>
        </w:rPr>
        <w:t xml:space="preserve"> for more information:</w:t>
      </w:r>
    </w:p>
    <w:p w:rsidR="005C7160" w:rsidRDefault="007A5606">
      <w:pPr>
        <w:ind w:right="540"/>
        <w:rPr>
          <w:i/>
          <w:sz w:val="24"/>
          <w:szCs w:val="24"/>
        </w:rPr>
      </w:pPr>
      <w:r>
        <w:rPr>
          <w:i/>
          <w:sz w:val="24"/>
          <w:szCs w:val="24"/>
        </w:rPr>
        <w:t>Africa CDC Resources</w:t>
      </w:r>
    </w:p>
    <w:p w:rsidR="005C7160" w:rsidRDefault="007A5606">
      <w:pPr>
        <w:numPr>
          <w:ilvl w:val="0"/>
          <w:numId w:val="7"/>
        </w:numPr>
        <w:ind w:right="540"/>
        <w:rPr>
          <w:sz w:val="24"/>
          <w:szCs w:val="24"/>
        </w:rPr>
      </w:pPr>
      <w:r>
        <w:rPr>
          <w:sz w:val="24"/>
          <w:szCs w:val="24"/>
        </w:rPr>
        <w:t xml:space="preserve">Africa CDC COVID-19 updates:  </w:t>
      </w:r>
      <w:hyperlink r:id="rId16">
        <w:r>
          <w:rPr>
            <w:color w:val="1155CC"/>
            <w:sz w:val="24"/>
            <w:szCs w:val="24"/>
            <w:u w:val="single"/>
          </w:rPr>
          <w:t>https://africacdc.org/covid-19/</w:t>
        </w:r>
      </w:hyperlink>
      <w:r>
        <w:rPr>
          <w:sz w:val="24"/>
          <w:szCs w:val="24"/>
        </w:rPr>
        <w:t xml:space="preserve"> </w:t>
      </w:r>
    </w:p>
    <w:p w:rsidR="005C7160" w:rsidRDefault="007A5606">
      <w:pPr>
        <w:numPr>
          <w:ilvl w:val="0"/>
          <w:numId w:val="7"/>
        </w:numPr>
        <w:ind w:right="540"/>
        <w:rPr>
          <w:sz w:val="24"/>
          <w:szCs w:val="24"/>
        </w:rPr>
      </w:pPr>
      <w:bookmarkStart w:id="39" w:name="_28h4qwu" w:colFirst="0" w:colLast="0"/>
      <w:bookmarkEnd w:id="39"/>
      <w:r>
        <w:rPr>
          <w:sz w:val="24"/>
          <w:szCs w:val="24"/>
        </w:rPr>
        <w:t xml:space="preserve">Multimedia: </w:t>
      </w:r>
      <w:hyperlink r:id="rId17">
        <w:r>
          <w:rPr>
            <w:color w:val="1155CC"/>
            <w:sz w:val="24"/>
            <w:szCs w:val="24"/>
            <w:u w:val="single"/>
          </w:rPr>
          <w:t>https://africacdc.org/co</w:t>
        </w:r>
        <w:r>
          <w:rPr>
            <w:color w:val="1155CC"/>
            <w:sz w:val="24"/>
            <w:szCs w:val="24"/>
            <w:u w:val="single"/>
          </w:rPr>
          <w:t>vid-19-multimedia/</w:t>
        </w:r>
      </w:hyperlink>
    </w:p>
    <w:p w:rsidR="005C7160" w:rsidRDefault="007A5606">
      <w:pPr>
        <w:numPr>
          <w:ilvl w:val="0"/>
          <w:numId w:val="7"/>
        </w:numPr>
        <w:ind w:right="540"/>
        <w:rPr>
          <w:sz w:val="24"/>
          <w:szCs w:val="24"/>
        </w:rPr>
      </w:pPr>
      <w:bookmarkStart w:id="40" w:name="_nmf14n" w:colFirst="0" w:colLast="0"/>
      <w:bookmarkEnd w:id="40"/>
      <w:r>
        <w:rPr>
          <w:sz w:val="24"/>
          <w:szCs w:val="24"/>
        </w:rPr>
        <w:t xml:space="preserve">Resources, policy guidelines, and infographics: </w:t>
      </w:r>
      <w:hyperlink r:id="rId18">
        <w:r>
          <w:rPr>
            <w:color w:val="1155CC"/>
            <w:sz w:val="24"/>
            <w:szCs w:val="24"/>
            <w:u w:val="single"/>
          </w:rPr>
          <w:t>https://africacdc.org/covid-19/covid-19-resources/</w:t>
        </w:r>
      </w:hyperlink>
    </w:p>
    <w:p w:rsidR="005C7160" w:rsidRDefault="005C7160">
      <w:pPr>
        <w:ind w:right="540"/>
        <w:rPr>
          <w:i/>
          <w:sz w:val="24"/>
          <w:szCs w:val="24"/>
        </w:rPr>
      </w:pPr>
      <w:bookmarkStart w:id="41" w:name="_tavtqr4uudyz" w:colFirst="0" w:colLast="0"/>
      <w:bookmarkEnd w:id="41"/>
    </w:p>
    <w:p w:rsidR="005C7160" w:rsidRDefault="007A5606">
      <w:pPr>
        <w:ind w:right="540"/>
        <w:rPr>
          <w:i/>
          <w:sz w:val="24"/>
          <w:szCs w:val="24"/>
        </w:rPr>
      </w:pPr>
      <w:bookmarkStart w:id="42" w:name="_jl51gjnc61uj" w:colFirst="0" w:colLast="0"/>
      <w:bookmarkEnd w:id="42"/>
      <w:r>
        <w:rPr>
          <w:i/>
          <w:sz w:val="24"/>
          <w:szCs w:val="24"/>
        </w:rPr>
        <w:t>Other Resources</w:t>
      </w:r>
    </w:p>
    <w:p w:rsidR="005C7160" w:rsidRDefault="007A5606">
      <w:pPr>
        <w:numPr>
          <w:ilvl w:val="0"/>
          <w:numId w:val="6"/>
        </w:numPr>
        <w:ind w:right="540"/>
        <w:rPr>
          <w:sz w:val="24"/>
          <w:szCs w:val="24"/>
        </w:rPr>
      </w:pPr>
      <w:r>
        <w:rPr>
          <w:sz w:val="24"/>
          <w:szCs w:val="24"/>
        </w:rPr>
        <w:t>European Centre for Disease Prevention and Control.</w:t>
      </w:r>
      <w:hyperlink r:id="rId19">
        <w:r>
          <w:rPr>
            <w:sz w:val="24"/>
            <w:szCs w:val="24"/>
          </w:rPr>
          <w:t xml:space="preserve"> </w:t>
        </w:r>
      </w:hyperlink>
      <w:hyperlink r:id="rId20">
        <w:r>
          <w:rPr>
            <w:color w:val="1155CC"/>
            <w:sz w:val="24"/>
            <w:szCs w:val="24"/>
            <w:u w:val="single"/>
          </w:rPr>
          <w:t>https://www.ecdc.europa.eu/en/novel-coronavirus-china</w:t>
        </w:r>
      </w:hyperlink>
    </w:p>
    <w:p w:rsidR="005C7160" w:rsidRDefault="007A5606">
      <w:pPr>
        <w:numPr>
          <w:ilvl w:val="0"/>
          <w:numId w:val="6"/>
        </w:numPr>
        <w:ind w:right="540"/>
        <w:rPr>
          <w:sz w:val="24"/>
          <w:szCs w:val="24"/>
        </w:rPr>
      </w:pPr>
      <w:r>
        <w:rPr>
          <w:sz w:val="24"/>
          <w:szCs w:val="24"/>
        </w:rPr>
        <w:t>US Centers for Disease Control and Prevention. Coronavi</w:t>
      </w:r>
      <w:r>
        <w:rPr>
          <w:sz w:val="24"/>
          <w:szCs w:val="24"/>
        </w:rPr>
        <w:t>rus disease 2019 (COVID-19).</w:t>
      </w:r>
      <w:hyperlink r:id="rId21">
        <w:r>
          <w:rPr>
            <w:sz w:val="24"/>
            <w:szCs w:val="24"/>
          </w:rPr>
          <w:t xml:space="preserve"> </w:t>
        </w:r>
      </w:hyperlink>
      <w:hyperlink r:id="rId22">
        <w:r>
          <w:rPr>
            <w:color w:val="1155CC"/>
            <w:sz w:val="24"/>
            <w:szCs w:val="24"/>
            <w:u w:val="single"/>
          </w:rPr>
          <w:t>https://www.cdc.gov/coronavirus/novel-coronavirus-2019.html</w:t>
        </w:r>
      </w:hyperlink>
    </w:p>
    <w:p w:rsidR="005C7160" w:rsidRDefault="007A5606">
      <w:pPr>
        <w:numPr>
          <w:ilvl w:val="0"/>
          <w:numId w:val="6"/>
        </w:numPr>
        <w:ind w:right="540"/>
        <w:rPr>
          <w:sz w:val="24"/>
          <w:szCs w:val="24"/>
        </w:rPr>
      </w:pPr>
      <w:bookmarkStart w:id="43" w:name="_46r0co2" w:colFirst="0" w:colLast="0"/>
      <w:bookmarkEnd w:id="43"/>
      <w:r>
        <w:rPr>
          <w:sz w:val="24"/>
          <w:szCs w:val="24"/>
        </w:rPr>
        <w:lastRenderedPageBreak/>
        <w:t>WHO. Tech</w:t>
      </w:r>
      <w:r>
        <w:rPr>
          <w:sz w:val="24"/>
          <w:szCs w:val="24"/>
        </w:rPr>
        <w:t>nical Guidance.</w:t>
      </w:r>
      <w:hyperlink r:id="rId23">
        <w:r>
          <w:rPr>
            <w:sz w:val="24"/>
            <w:szCs w:val="24"/>
          </w:rPr>
          <w:t xml:space="preserve"> </w:t>
        </w:r>
      </w:hyperlink>
      <w:hyperlink r:id="rId24">
        <w:r>
          <w:rPr>
            <w:color w:val="1155CC"/>
            <w:sz w:val="24"/>
            <w:szCs w:val="24"/>
            <w:u w:val="single"/>
          </w:rPr>
          <w:t>https://www.who.int/emergencies/dise</w:t>
        </w:r>
        <w:r>
          <w:rPr>
            <w:color w:val="1155CC"/>
            <w:sz w:val="24"/>
            <w:szCs w:val="24"/>
            <w:u w:val="single"/>
          </w:rPr>
          <w:t>ases/novel-coronavirus-2019/technical-guidance</w:t>
        </w:r>
      </w:hyperlink>
    </w:p>
    <w:sectPr w:rsidR="005C7160">
      <w:headerReference w:type="default" r:id="rId25"/>
      <w:footerReference w:type="default" r:id="rId26"/>
      <w:pgSz w:w="12240" w:h="15840"/>
      <w:pgMar w:top="1440" w:right="117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06" w:rsidRDefault="007A5606">
      <w:r>
        <w:separator/>
      </w:r>
    </w:p>
  </w:endnote>
  <w:endnote w:type="continuationSeparator" w:id="0">
    <w:p w:rsidR="007A5606" w:rsidRDefault="007A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60" w:rsidRDefault="007A5606">
    <w:pPr>
      <w:pBdr>
        <w:top w:val="nil"/>
        <w:left w:val="nil"/>
        <w:bottom w:val="nil"/>
        <w:right w:val="nil"/>
        <w:between w:val="nil"/>
      </w:pBdr>
      <w:tabs>
        <w:tab w:val="center" w:pos="4680"/>
        <w:tab w:val="right" w:pos="9360"/>
      </w:tabs>
      <w:jc w:val="right"/>
      <w:rPr>
        <w:i/>
        <w:color w:val="000000"/>
      </w:rPr>
    </w:pPr>
    <w:r>
      <w:fldChar w:fldCharType="begin"/>
    </w:r>
    <w:r>
      <w:instrText>PAGE</w:instrText>
    </w:r>
    <w:r w:rsidR="00F86353">
      <w:fldChar w:fldCharType="separate"/>
    </w:r>
    <w:r w:rsidR="0095559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06" w:rsidRDefault="007A5606">
      <w:r>
        <w:separator/>
      </w:r>
    </w:p>
  </w:footnote>
  <w:footnote w:type="continuationSeparator" w:id="0">
    <w:p w:rsidR="007A5606" w:rsidRDefault="007A5606">
      <w:r>
        <w:continuationSeparator/>
      </w:r>
    </w:p>
  </w:footnote>
  <w:footnote w:id="1">
    <w:p w:rsidR="005C7160" w:rsidRDefault="007A5606">
      <w:pPr>
        <w:rPr>
          <w:vertAlign w:val="superscript"/>
        </w:rPr>
      </w:pPr>
      <w:r>
        <w:rPr>
          <w:vertAlign w:val="superscript"/>
        </w:rPr>
        <w:footnoteRef/>
      </w:r>
      <w:r>
        <w:rPr>
          <w:vertAlign w:val="superscript"/>
        </w:rPr>
        <w:t xml:space="preserve"> </w:t>
      </w:r>
      <w:r>
        <w:t xml:space="preserve">WHO COVID-19 surveillance guidance and case definition: </w:t>
      </w:r>
      <w:hyperlink r:id="rId1">
        <w:r>
          <w:rPr>
            <w:color w:val="1155CC"/>
            <w:u w:val="single"/>
          </w:rPr>
          <w:t>https://www.who.int/publications/i/item/who-2019-nCoV-surveillanceguidance-2020.7</w:t>
        </w:r>
      </w:hyperlink>
      <w:r>
        <w:t xml:space="preserve">   </w:t>
      </w:r>
    </w:p>
  </w:footnote>
  <w:footnote w:id="2">
    <w:p w:rsidR="005C7160" w:rsidRDefault="007A5606">
      <w:r>
        <w:rPr>
          <w:vertAlign w:val="superscript"/>
        </w:rPr>
        <w:footnoteRef/>
      </w:r>
      <w:r>
        <w:rPr>
          <w:vertAlign w:val="superscript"/>
        </w:rPr>
        <w:t xml:space="preserve"> </w:t>
      </w:r>
      <w:r>
        <w:t>WHO coronavirus disease (COVID-19) dashboard:</w:t>
      </w:r>
      <w:hyperlink r:id="rId2">
        <w:r>
          <w:t xml:space="preserve"> </w:t>
        </w:r>
      </w:hyperlink>
      <w:hyperlink r:id="rId3">
        <w:r>
          <w:rPr>
            <w:color w:val="1155CC"/>
            <w:u w:val="single"/>
          </w:rPr>
          <w:t>https://covid19.who.int/</w:t>
        </w:r>
      </w:hyperlink>
      <w:r>
        <w:t xml:space="preserve">  </w:t>
      </w:r>
    </w:p>
  </w:footnote>
  <w:footnote w:id="3">
    <w:p w:rsidR="005C7160" w:rsidRDefault="007A5606">
      <w:r>
        <w:rPr>
          <w:vertAlign w:val="superscript"/>
        </w:rPr>
        <w:footnoteRef/>
      </w:r>
      <w:r>
        <w:t xml:space="preserve"> Data is continuously verified for accuracy and reliability however it may change based on retrospective updates from Member States.</w:t>
      </w:r>
    </w:p>
  </w:footnote>
  <w:footnote w:id="4">
    <w:p w:rsidR="005C7160" w:rsidRDefault="007A5606">
      <w:r>
        <w:rPr>
          <w:vertAlign w:val="superscript"/>
        </w:rPr>
        <w:footnoteRef/>
      </w:r>
      <w:r>
        <w:t xml:space="preserve"> Phases defined according to Africa CDC’s Recommendations for a stepwise COVID-19 response - </w:t>
      </w:r>
      <w:hyperlink r:id="rId4">
        <w:r>
          <w:rPr>
            <w:color w:val="1155CC"/>
            <w:u w:val="single"/>
          </w:rPr>
          <w:t>https://africacdc.org/download/recommendations-for-stepwise-response-to-covid-19/</w:t>
        </w:r>
      </w:hyperlink>
      <w:r>
        <w:t xml:space="preserve">: </w:t>
      </w:r>
      <w:r>
        <w:rPr>
          <w:b/>
        </w:rPr>
        <w:t xml:space="preserve">Phase 0 (No COVID-19 case): </w:t>
      </w:r>
      <w:r>
        <w:t>no reported case in-country;</w:t>
      </w:r>
      <w:r>
        <w:rPr>
          <w:b/>
        </w:rPr>
        <w:t xml:space="preserve"> Phase 1 (Early stage outbr</w:t>
      </w:r>
      <w:r>
        <w:rPr>
          <w:b/>
        </w:rPr>
        <w:t>eak):</w:t>
      </w:r>
      <w:r>
        <w:t xml:space="preserve"> one or more imported cases, limited local transmission related to imported cases; </w:t>
      </w:r>
      <w:r>
        <w:rPr>
          <w:b/>
        </w:rPr>
        <w:t>Phase 2 (Expanding outbreak):</w:t>
      </w:r>
      <w:r>
        <w:t xml:space="preserve"> increasing number of imported cases, increased local spread but all cases linked to known transmission chains, outbreak clusters with a kn</w:t>
      </w:r>
      <w:r>
        <w:t xml:space="preserve">own common exposure; </w:t>
      </w:r>
      <w:r>
        <w:rPr>
          <w:b/>
        </w:rPr>
        <w:t xml:space="preserve">Phase 3 (Advancing outbreak): </w:t>
      </w:r>
      <w:r>
        <w:t>localized outbreaks start to merge, one or more cases or deaths occur outside known transmission, multiple generations in transmission chains, cases are detected among severe acute respiratory illness (SAR</w:t>
      </w:r>
      <w:r>
        <w:t xml:space="preserve">I) case with no known exposure; </w:t>
      </w:r>
      <w:r>
        <w:rPr>
          <w:b/>
        </w:rPr>
        <w:t xml:space="preserve">Phase 4 (Large outbreak with nationwide transmission): </w:t>
      </w:r>
      <w:r>
        <w:t>widespread sustained community transmission, multiple generation transmission chains can be identified but most cases occurring outside of chains, community-wide transmi</w:t>
      </w:r>
      <w:r>
        <w:t>ssion throughout all or nearly all of the country.</w:t>
      </w:r>
    </w:p>
  </w:footnote>
  <w:footnote w:id="5">
    <w:p w:rsidR="005C7160" w:rsidRDefault="007A5606">
      <w:r>
        <w:rPr>
          <w:vertAlign w:val="superscript"/>
        </w:rPr>
        <w:footnoteRef/>
      </w:r>
      <w:r>
        <w:t xml:space="preserve"> Last report received 7-May-2020.</w:t>
      </w:r>
    </w:p>
  </w:footnote>
  <w:footnote w:id="6">
    <w:p w:rsidR="005C7160" w:rsidRDefault="007A5606">
      <w:r>
        <w:rPr>
          <w:vertAlign w:val="superscript"/>
        </w:rPr>
        <w:footnoteRef/>
      </w:r>
      <w:r>
        <w:t xml:space="preserve">Africa CDC Protocol for enhanced surveillance for COVID-19 in Africa: </w:t>
      </w:r>
      <w:hyperlink r:id="rId5">
        <w:r>
          <w:rPr>
            <w:color w:val="1155CC"/>
            <w:u w:val="single"/>
          </w:rPr>
          <w:t>https://africacdc.org/download/protocol-for-enhanced-severe-acute-respiratory-illness-and-influenza-l</w:t>
        </w:r>
        <w:r>
          <w:rPr>
            <w:color w:val="1155CC"/>
            <w:u w:val="single"/>
          </w:rPr>
          <w:t>ike-illness-surveillance-for-covid-19-in-africa/</w:t>
        </w:r>
      </w:hyperlink>
      <w:r>
        <w:t xml:space="preserve"> </w:t>
      </w:r>
    </w:p>
  </w:footnote>
  <w:footnote w:id="7">
    <w:p w:rsidR="005C7160" w:rsidRDefault="007A5606">
      <w:r>
        <w:rPr>
          <w:vertAlign w:val="superscript"/>
        </w:rPr>
        <w:footnoteRef/>
      </w:r>
      <w:r>
        <w:t xml:space="preserve">WHO COVID-19 surveillance guidance and case definition: </w:t>
      </w:r>
      <w:hyperlink r:id="rId6">
        <w:r>
          <w:rPr>
            <w:color w:val="1155CC"/>
            <w:u w:val="single"/>
          </w:rPr>
          <w:t>https://www.who.int/publications/i/item/who-2019</w:t>
        </w:r>
        <w:r>
          <w:rPr>
            <w:color w:val="1155CC"/>
            <w:u w:val="single"/>
          </w:rPr>
          <w:t>-nCoV-surveillanceguidance-2020.7</w:t>
        </w:r>
      </w:hyperlink>
      <w:r>
        <w:t xml:space="preserve"> </w:t>
      </w:r>
    </w:p>
  </w:footnote>
  <w:footnote w:id="8">
    <w:p w:rsidR="005C7160" w:rsidRDefault="007A5606">
      <w:r>
        <w:rPr>
          <w:vertAlign w:val="superscript"/>
        </w:rPr>
        <w:footnoteRef/>
      </w:r>
      <w:r>
        <w:t xml:space="preserve">WHO SARI case definition: anyone with an acute respiratory infection with a history of fever (or measured fever of ≥ 38 C°) and cough with symptom onset within the last 10 days that requires hospitalization.  </w:t>
      </w:r>
      <w:hyperlink r:id="rId7">
        <w:r>
          <w:t xml:space="preserve"> </w:t>
        </w:r>
      </w:hyperlink>
      <w:hyperlink r:id="rId8">
        <w:r>
          <w:rPr>
            <w:color w:val="0000FF"/>
            <w:u w:val="single"/>
          </w:rPr>
          <w:t>https://www.who.int/influenza/survei</w:t>
        </w:r>
        <w:r>
          <w:rPr>
            <w:color w:val="0000FF"/>
            <w:u w:val="single"/>
          </w:rPr>
          <w:t>llance_monitoring/ili_sari_surveillance_case_definition/en/</w:t>
        </w:r>
      </w:hyperlink>
    </w:p>
  </w:footnote>
  <w:footnote w:id="9">
    <w:p w:rsidR="005C7160" w:rsidRDefault="007A5606">
      <w:r>
        <w:rPr>
          <w:vertAlign w:val="superscript"/>
        </w:rPr>
        <w:footnoteRef/>
      </w:r>
      <w:r>
        <w:t>Africa CDC Guidance on Contact Tracing for COVID-19 Pandemic:</w:t>
      </w:r>
      <w:hyperlink r:id="rId9">
        <w:r>
          <w:t xml:space="preserve"> </w:t>
        </w:r>
      </w:hyperlink>
      <w:hyperlink r:id="rId10">
        <w:r>
          <w:rPr>
            <w:color w:val="1155CC"/>
            <w:u w:val="single"/>
          </w:rPr>
          <w:t>https://africacdc.org/download/guidance-on-contact-tracing-for-covid-19-pandemic/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60" w:rsidRDefault="007A5606">
    <w:pPr>
      <w:rPr>
        <w:sz w:val="28"/>
        <w:szCs w:val="28"/>
      </w:rPr>
    </w:pPr>
    <w:r>
      <w:rPr>
        <w:noProof/>
      </w:rPr>
      <w:drawing>
        <wp:anchor distT="0" distB="0" distL="114300" distR="114300" simplePos="0" relativeHeight="251658240" behindDoc="0" locked="0" layoutInCell="1" hidden="0" allowOverlap="1">
          <wp:simplePos x="0" y="0"/>
          <wp:positionH relativeFrom="column">
            <wp:posOffset>4505325</wp:posOffset>
          </wp:positionH>
          <wp:positionV relativeFrom="paragraph">
            <wp:posOffset>-361946</wp:posOffset>
          </wp:positionV>
          <wp:extent cx="2162175" cy="86677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6796" b="4854"/>
                  <a:stretch>
                    <a:fillRect/>
                  </a:stretch>
                </pic:blipFill>
                <pic:spPr>
                  <a:xfrm>
                    <a:off x="0" y="0"/>
                    <a:ext cx="2162175" cy="8667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-695321</wp:posOffset>
          </wp:positionH>
          <wp:positionV relativeFrom="paragraph">
            <wp:posOffset>-304794</wp:posOffset>
          </wp:positionV>
          <wp:extent cx="2095500" cy="7524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10679" b="12621"/>
                  <a:stretch>
                    <a:fillRect/>
                  </a:stretch>
                </pic:blipFill>
                <pic:spPr>
                  <a:xfrm>
                    <a:off x="0" y="0"/>
                    <a:ext cx="2095500" cy="752475"/>
                  </a:xfrm>
                  <a:prstGeom prst="rect">
                    <a:avLst/>
                  </a:prstGeom>
                  <a:ln/>
                </pic:spPr>
              </pic:pic>
            </a:graphicData>
          </a:graphic>
        </wp:anchor>
      </w:drawing>
    </w:r>
  </w:p>
  <w:p w:rsidR="005C7160" w:rsidRDefault="005C7160">
    <w:pPr>
      <w:rPr>
        <w:sz w:val="28"/>
        <w:szCs w:val="28"/>
      </w:rPr>
    </w:pPr>
  </w:p>
  <w:p w:rsidR="005C7160" w:rsidRDefault="005C7160">
    <w:pPr>
      <w:rPr>
        <w:sz w:val="28"/>
        <w:szCs w:val="28"/>
      </w:rPr>
    </w:pPr>
  </w:p>
  <w:p w:rsidR="005C7160" w:rsidRDefault="005C7160">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673"/>
    <w:multiLevelType w:val="multilevel"/>
    <w:tmpl w:val="7E22818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6207A"/>
    <w:multiLevelType w:val="multilevel"/>
    <w:tmpl w:val="38628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64819"/>
    <w:multiLevelType w:val="multilevel"/>
    <w:tmpl w:val="6594708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C60245"/>
    <w:multiLevelType w:val="multilevel"/>
    <w:tmpl w:val="69565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031E69"/>
    <w:multiLevelType w:val="multilevel"/>
    <w:tmpl w:val="AA9CA3A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BD00AA"/>
    <w:multiLevelType w:val="multilevel"/>
    <w:tmpl w:val="39A25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660B1C"/>
    <w:multiLevelType w:val="multilevel"/>
    <w:tmpl w:val="DA741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8A2FF8"/>
    <w:multiLevelType w:val="multilevel"/>
    <w:tmpl w:val="DCEE3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60"/>
    <w:rsid w:val="005C7160"/>
    <w:rsid w:val="007A5606"/>
    <w:rsid w:val="0095559C"/>
    <w:rsid w:val="00F8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848C"/>
  <w15:docId w15:val="{35C1FCBB-5341-4463-8332-C212EEC9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8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100.newafricanmagazine.com/" TargetMode="External"/><Relationship Id="rId13" Type="http://schemas.openxmlformats.org/officeDocument/2006/relationships/hyperlink" Target="https://afrolib.afro.who.int/pmb/opac_css/doc_num.php?explnum_id=7728" TargetMode="External"/><Relationship Id="rId18" Type="http://schemas.openxmlformats.org/officeDocument/2006/relationships/hyperlink" Target="https://africacdc.org/covid-19/covid-19-resour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c.gov/coronavirus/novel-coronavirus-2019.html" TargetMode="External"/><Relationship Id="rId7" Type="http://schemas.openxmlformats.org/officeDocument/2006/relationships/image" Target="media/image1.png"/><Relationship Id="rId12" Type="http://schemas.openxmlformats.org/officeDocument/2006/relationships/hyperlink" Target="https://africacdc.org/resources/" TargetMode="External"/><Relationship Id="rId17" Type="http://schemas.openxmlformats.org/officeDocument/2006/relationships/hyperlink" Target="https://africacdc.org/covid-19-multimedi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fricacdc.org/covid-19/" TargetMode="External"/><Relationship Id="rId20" Type="http://schemas.openxmlformats.org/officeDocument/2006/relationships/hyperlink" Target="https://www.ecdc.europa.eu/en/novel-coronavirus-ch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rec/play/7SWy4K_isWFZ2P4c-jt-uMYII1dZ8VuOlLtcOOoCYbG_o66SuCr6HTEW4pZbGvBXyiXCGk83bL794GTJ.nkfe244EMqkQ7-eg?continueMode=true&amp;_x_zm_rtaid=rcSgzfcSSUCZdQWDk3Jt7A.1606726518223.bf41111f26f5e67d7fd2576775c261d8&amp;_x_zm_rhtaid=472" TargetMode="External"/><Relationship Id="rId24" Type="http://schemas.openxmlformats.org/officeDocument/2006/relationships/hyperlink" Target="https://www.who.int/emergencies/diseases/novel-coronavirus-2019/technical-guidance" TargetMode="External"/><Relationship Id="rId5" Type="http://schemas.openxmlformats.org/officeDocument/2006/relationships/footnotes" Target="footnotes.xml"/><Relationship Id="rId15" Type="http://schemas.openxmlformats.org/officeDocument/2006/relationships/hyperlink" Target="https://africacdc.org/covid-19/" TargetMode="External"/><Relationship Id="rId23" Type="http://schemas.openxmlformats.org/officeDocument/2006/relationships/hyperlink" Target="https://www.who.int/emergencies/diseases/novel-coronavirus-2019/technical-guidance" TargetMode="External"/><Relationship Id="rId28" Type="http://schemas.openxmlformats.org/officeDocument/2006/relationships/theme" Target="theme/theme1.xml"/><Relationship Id="rId10" Type="http://schemas.openxmlformats.org/officeDocument/2006/relationships/hyperlink" Target="https://www.africacdc.training/courses/ccop" TargetMode="External"/><Relationship Id="rId19" Type="http://schemas.openxmlformats.org/officeDocument/2006/relationships/hyperlink" Target="https://www.ecdc.europa.eu/en/novel-coronavirus-china" TargetMode="External"/><Relationship Id="rId4" Type="http://schemas.openxmlformats.org/officeDocument/2006/relationships/webSettings" Target="webSettings.xml"/><Relationship Id="rId9" Type="http://schemas.openxmlformats.org/officeDocument/2006/relationships/hyperlink" Target="https://web.facebook.com/watch/?v=757691255074767&amp;extid=gyiQO5GcQdC8XNaY" TargetMode="External"/><Relationship Id="rId14" Type="http://schemas.openxmlformats.org/officeDocument/2006/relationships/hyperlink" Target="https://preventepidemics.org/covid19/perc/" TargetMode="External"/><Relationship Id="rId22" Type="http://schemas.openxmlformats.org/officeDocument/2006/relationships/hyperlink" Target="https://www.cdc.gov/coronavirus/novel-coronavirus-2019.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influenza/surveillance_monitoring/ili_sari_surveillance_case_definition/en/" TargetMode="External"/><Relationship Id="rId3" Type="http://schemas.openxmlformats.org/officeDocument/2006/relationships/hyperlink" Target="https://covid19.who.int/" TargetMode="External"/><Relationship Id="rId7" Type="http://schemas.openxmlformats.org/officeDocument/2006/relationships/hyperlink" Target="https://www.who.int/influenza/surveillance_monitoring/ili_sari_surveillance_case_definition/en/" TargetMode="External"/><Relationship Id="rId2" Type="http://schemas.openxmlformats.org/officeDocument/2006/relationships/hyperlink" Target="https://www.who.int/emergencies/diseases/novel-coronavirus-2019/situation-reports" TargetMode="External"/><Relationship Id="rId1" Type="http://schemas.openxmlformats.org/officeDocument/2006/relationships/hyperlink" Target="https://www.who.int/publications/i/item/who-2019-nCoV-surveillanceguidance-2020.7" TargetMode="External"/><Relationship Id="rId6" Type="http://schemas.openxmlformats.org/officeDocument/2006/relationships/hyperlink" Target="https://www.who.int/publications/i/item/who-2019-nCoV-surveillanceguidance-2020.7" TargetMode="External"/><Relationship Id="rId5" Type="http://schemas.openxmlformats.org/officeDocument/2006/relationships/hyperlink" Target="https://africacdc.org/download/protocol-for-enhanced-severe-acute-respiratory-illness-and-influenza-like-illness-surveillance-for-covid-19-in-africa/" TargetMode="External"/><Relationship Id="rId10" Type="http://schemas.openxmlformats.org/officeDocument/2006/relationships/hyperlink" Target="https://africacdc.org/download/guidance-on-contact-tracing-for-covid-19-pandemic/" TargetMode="External"/><Relationship Id="rId4" Type="http://schemas.openxmlformats.org/officeDocument/2006/relationships/hyperlink" Target="https://africacdc.org/download/recommendations-for-stepwise-response-to-covid-19/" TargetMode="External"/><Relationship Id="rId9" Type="http://schemas.openxmlformats.org/officeDocument/2006/relationships/hyperlink" Target="https://africacdc.org/download/guidance-on-contact-tracing-for-covid-19-pandem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CHIKA UKENEDO</cp:lastModifiedBy>
  <cp:revision>3</cp:revision>
  <cp:lastPrinted>2020-12-15T13:07:00Z</cp:lastPrinted>
  <dcterms:created xsi:type="dcterms:W3CDTF">2020-12-15T13:06:00Z</dcterms:created>
  <dcterms:modified xsi:type="dcterms:W3CDTF">2020-12-15T13:08:00Z</dcterms:modified>
</cp:coreProperties>
</file>